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851" w:rsidRDefault="00346851" w:rsidP="003468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6851" w:rsidRDefault="00346851" w:rsidP="00346851">
      <w:pPr>
        <w:widowControl w:val="0"/>
        <w:autoSpaceDE w:val="0"/>
        <w:autoSpaceDN w:val="0"/>
        <w:adjustRightInd w:val="0"/>
        <w:jc w:val="center"/>
      </w:pPr>
      <w:r>
        <w:t>SUBPART B:  LEASED SPACE ACQUISITION POLICY</w:t>
      </w:r>
    </w:p>
    <w:sectPr w:rsidR="00346851" w:rsidSect="00346851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6851"/>
    <w:rsid w:val="00346851"/>
    <w:rsid w:val="00482FFD"/>
    <w:rsid w:val="006E2F2F"/>
    <w:rsid w:val="00DD69FF"/>
    <w:rsid w:val="00FC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LEASED SPACE ACQUISITION POLICY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LEASED SPACE ACQUISITION POLICY</dc:title>
  <dc:subject/>
  <dc:creator>MessingerRR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