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067" w:rsidRPr="007705AC" w:rsidRDefault="00FD7067" w:rsidP="00FD7067">
      <w:bookmarkStart w:id="0" w:name="_GoBack"/>
      <w:bookmarkEnd w:id="0"/>
    </w:p>
    <w:p w:rsidR="00FD7067" w:rsidRPr="007705AC" w:rsidRDefault="00FD7067" w:rsidP="00FD7067">
      <w:pPr>
        <w:rPr>
          <w:color w:val="000000"/>
        </w:rPr>
      </w:pPr>
      <w:r w:rsidRPr="007705AC">
        <w:rPr>
          <w:b/>
          <w:bCs/>
        </w:rPr>
        <w:t>Section 1030.170  Phase 1 Evaluation</w:t>
      </w:r>
    </w:p>
    <w:p w:rsidR="00FD7067" w:rsidRPr="007705AC" w:rsidRDefault="00FD7067" w:rsidP="00FD7067"/>
    <w:p w:rsidR="00FD7067" w:rsidRPr="007705AC" w:rsidRDefault="00D81DE4" w:rsidP="00D81DE4">
      <w:pPr>
        <w:ind w:left="1440" w:hanging="720"/>
        <w:rPr>
          <w:color w:val="000000"/>
        </w:rPr>
      </w:pPr>
      <w:r>
        <w:rPr>
          <w:color w:val="000000"/>
        </w:rPr>
        <w:t>a)</w:t>
      </w:r>
      <w:r>
        <w:rPr>
          <w:color w:val="000000"/>
        </w:rPr>
        <w:tab/>
      </w:r>
      <w:r w:rsidR="00FD7067" w:rsidRPr="007705AC">
        <w:rPr>
          <w:color w:val="000000"/>
        </w:rPr>
        <w:t xml:space="preserve">In Phase </w:t>
      </w:r>
      <w:r w:rsidR="00C37FB0">
        <w:rPr>
          <w:color w:val="000000"/>
        </w:rPr>
        <w:t>1,</w:t>
      </w:r>
      <w:r w:rsidR="00FD7067" w:rsidRPr="007705AC">
        <w:rPr>
          <w:color w:val="000000"/>
        </w:rPr>
        <w:t xml:space="preserve"> CDB will evaluate and shortlist the </w:t>
      </w:r>
      <w:r w:rsidR="00C37FB0">
        <w:rPr>
          <w:color w:val="000000"/>
        </w:rPr>
        <w:t>DB</w:t>
      </w:r>
      <w:r w:rsidR="00FD7067" w:rsidRPr="007705AC">
        <w:rPr>
          <w:color w:val="000000"/>
        </w:rPr>
        <w:t xml:space="preserve"> entities based on qualifications submitted in response to the RFP.</w:t>
      </w:r>
    </w:p>
    <w:p w:rsidR="00FD7067" w:rsidRPr="007705AC" w:rsidRDefault="00FD7067" w:rsidP="00FD7067"/>
    <w:p w:rsidR="00FD7067" w:rsidRPr="007705AC" w:rsidRDefault="00D81DE4" w:rsidP="00D81DE4">
      <w:pPr>
        <w:ind w:left="1440" w:hanging="720"/>
        <w:rPr>
          <w:color w:val="000000"/>
        </w:rPr>
      </w:pPr>
      <w:r>
        <w:rPr>
          <w:color w:val="000000"/>
        </w:rPr>
        <w:t>b)</w:t>
      </w:r>
      <w:r>
        <w:rPr>
          <w:color w:val="000000"/>
        </w:rPr>
        <w:tab/>
      </w:r>
      <w:r w:rsidR="00FD7067" w:rsidRPr="007705AC">
        <w:rPr>
          <w:color w:val="000000"/>
        </w:rPr>
        <w:t xml:space="preserve">Evaluation shall be based on the prequalification requirements, evaluation criteria and relative importance or weighting of evaluation criteria as set forth in the RFP. </w:t>
      </w:r>
    </w:p>
    <w:p w:rsidR="00FD7067" w:rsidRPr="007705AC" w:rsidRDefault="00FD7067" w:rsidP="00FD7067">
      <w:pPr>
        <w:rPr>
          <w:color w:val="000000"/>
        </w:rPr>
      </w:pPr>
    </w:p>
    <w:p w:rsidR="00FD7067" w:rsidRPr="007705AC" w:rsidRDefault="00D81DE4" w:rsidP="00BE316C">
      <w:pPr>
        <w:ind w:left="1440" w:hanging="720"/>
        <w:rPr>
          <w:color w:val="000000"/>
        </w:rPr>
      </w:pPr>
      <w:r>
        <w:rPr>
          <w:color w:val="000000"/>
        </w:rPr>
        <w:t>c)</w:t>
      </w:r>
      <w:r>
        <w:rPr>
          <w:color w:val="000000"/>
        </w:rPr>
        <w:tab/>
      </w:r>
      <w:r w:rsidR="00FD7067" w:rsidRPr="007705AC">
        <w:rPr>
          <w:color w:val="000000"/>
        </w:rPr>
        <w:t xml:space="preserve">Proposals shall not be reviewed until after the deadline for submission has passed. </w:t>
      </w:r>
    </w:p>
    <w:p w:rsidR="00FD7067" w:rsidRPr="007705AC" w:rsidRDefault="00FD7067" w:rsidP="00BE316C">
      <w:pPr>
        <w:ind w:left="1440" w:hanging="720"/>
        <w:rPr>
          <w:color w:val="000000"/>
        </w:rPr>
      </w:pPr>
    </w:p>
    <w:p w:rsidR="00FD7067" w:rsidRPr="007705AC" w:rsidRDefault="00D81DE4" w:rsidP="00D81DE4">
      <w:pPr>
        <w:ind w:left="1440" w:hanging="720"/>
        <w:rPr>
          <w:color w:val="000000"/>
        </w:rPr>
      </w:pPr>
      <w:r>
        <w:rPr>
          <w:color w:val="000000"/>
        </w:rPr>
        <w:t>d)</w:t>
      </w:r>
      <w:r>
        <w:rPr>
          <w:color w:val="000000"/>
        </w:rPr>
        <w:tab/>
      </w:r>
      <w:r w:rsidR="00FD7067" w:rsidRPr="007705AC">
        <w:rPr>
          <w:color w:val="000000"/>
        </w:rPr>
        <w:t xml:space="preserve">Proposals must meet all material requirements of the </w:t>
      </w:r>
      <w:r w:rsidR="00C37FB0">
        <w:rPr>
          <w:color w:val="000000"/>
        </w:rPr>
        <w:t>RFP</w:t>
      </w:r>
      <w:r w:rsidR="00FD7067" w:rsidRPr="007705AC">
        <w:rPr>
          <w:color w:val="000000"/>
        </w:rPr>
        <w:t xml:space="preserve"> or they may be rejected as non-responsive. </w:t>
      </w:r>
    </w:p>
    <w:p w:rsidR="00FD7067" w:rsidRPr="007705AC" w:rsidRDefault="00FD7067" w:rsidP="00FD7067">
      <w:pPr>
        <w:rPr>
          <w:color w:val="000000"/>
        </w:rPr>
      </w:pPr>
    </w:p>
    <w:p w:rsidR="00FD7067" w:rsidRPr="007705AC" w:rsidRDefault="00D81DE4" w:rsidP="00D81DE4">
      <w:pPr>
        <w:ind w:firstLine="720"/>
        <w:rPr>
          <w:color w:val="000000"/>
        </w:rPr>
      </w:pPr>
      <w:r>
        <w:rPr>
          <w:color w:val="000000"/>
        </w:rPr>
        <w:t>e)</w:t>
      </w:r>
      <w:r>
        <w:rPr>
          <w:color w:val="000000"/>
        </w:rPr>
        <w:tab/>
      </w:r>
      <w:r w:rsidR="00FD7067" w:rsidRPr="007705AC">
        <w:rPr>
          <w:color w:val="000000"/>
        </w:rPr>
        <w:t xml:space="preserve">CDB shall have the right to reject any and all proposals. </w:t>
      </w:r>
    </w:p>
    <w:p w:rsidR="00FD7067" w:rsidRPr="007705AC" w:rsidRDefault="00FD7067" w:rsidP="00FD7067">
      <w:pPr>
        <w:rPr>
          <w:color w:val="000000"/>
        </w:rPr>
      </w:pPr>
    </w:p>
    <w:p w:rsidR="00FD7067" w:rsidRPr="007705AC" w:rsidRDefault="00D81DE4" w:rsidP="00D81DE4">
      <w:pPr>
        <w:ind w:left="1440" w:hanging="720"/>
        <w:rPr>
          <w:color w:val="000000"/>
        </w:rPr>
      </w:pPr>
      <w:r>
        <w:rPr>
          <w:color w:val="000000"/>
        </w:rPr>
        <w:t>f)</w:t>
      </w:r>
      <w:r>
        <w:rPr>
          <w:color w:val="000000"/>
        </w:rPr>
        <w:tab/>
      </w:r>
      <w:r w:rsidR="00FD7067" w:rsidRPr="007705AC">
        <w:rPr>
          <w:color w:val="000000"/>
        </w:rPr>
        <w:t>CDB shall maintain a record of the evaluation scoring to be disclosed in event of a protest regarding the solicitation.</w:t>
      </w:r>
    </w:p>
    <w:p w:rsidR="00FD7067" w:rsidRPr="007705AC" w:rsidRDefault="00FD7067" w:rsidP="00FD7067">
      <w:pPr>
        <w:rPr>
          <w:color w:val="000000"/>
        </w:rPr>
      </w:pPr>
    </w:p>
    <w:p w:rsidR="00FD7067" w:rsidRPr="007705AC" w:rsidRDefault="00D81DE4" w:rsidP="00D81DE4">
      <w:pPr>
        <w:ind w:firstLine="720"/>
        <w:rPr>
          <w:color w:val="000000"/>
        </w:rPr>
      </w:pPr>
      <w:r>
        <w:rPr>
          <w:color w:val="000000"/>
        </w:rPr>
        <w:t>g)</w:t>
      </w:r>
      <w:r>
        <w:rPr>
          <w:color w:val="000000"/>
        </w:rPr>
        <w:tab/>
      </w:r>
      <w:r w:rsidR="00FD7067" w:rsidRPr="007705AC">
        <w:rPr>
          <w:color w:val="000000"/>
        </w:rPr>
        <w:t xml:space="preserve">Phase </w:t>
      </w:r>
      <w:r w:rsidR="00C37FB0">
        <w:rPr>
          <w:color w:val="000000"/>
        </w:rPr>
        <w:t xml:space="preserve">1 </w:t>
      </w:r>
      <w:r w:rsidR="00FD7067" w:rsidRPr="007705AC">
        <w:rPr>
          <w:color w:val="000000"/>
        </w:rPr>
        <w:t xml:space="preserve">evaluation criteria shall include: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1)</w:t>
      </w:r>
      <w:r>
        <w:rPr>
          <w:color w:val="000000"/>
        </w:rPr>
        <w:tab/>
      </w:r>
      <w:r w:rsidR="00FD7067" w:rsidRPr="007705AC">
        <w:rPr>
          <w:color w:val="000000"/>
        </w:rPr>
        <w:t xml:space="preserve">experience of personnel;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2)</w:t>
      </w:r>
      <w:r>
        <w:rPr>
          <w:color w:val="000000"/>
        </w:rPr>
        <w:tab/>
      </w:r>
      <w:r w:rsidR="00FD7067" w:rsidRPr="007705AC">
        <w:rPr>
          <w:color w:val="000000"/>
        </w:rPr>
        <w:t xml:space="preserve">successful experience with similar project types;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3)</w:t>
      </w:r>
      <w:r>
        <w:rPr>
          <w:color w:val="000000"/>
        </w:rPr>
        <w:tab/>
      </w:r>
      <w:r w:rsidR="00FD7067" w:rsidRPr="007705AC">
        <w:rPr>
          <w:color w:val="000000"/>
        </w:rPr>
        <w:t xml:space="preserve">financial capability in relation to the size of the project;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4)</w:t>
      </w:r>
      <w:r>
        <w:rPr>
          <w:color w:val="000000"/>
        </w:rPr>
        <w:tab/>
      </w:r>
      <w:r w:rsidR="00FD7067" w:rsidRPr="007705AC">
        <w:rPr>
          <w:color w:val="000000"/>
        </w:rPr>
        <w:t xml:space="preserve">timeliness of past performance;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5)</w:t>
      </w:r>
      <w:r>
        <w:rPr>
          <w:color w:val="000000"/>
        </w:rPr>
        <w:tab/>
      </w:r>
      <w:r w:rsidR="00FD7067" w:rsidRPr="007705AC">
        <w:rPr>
          <w:color w:val="000000"/>
        </w:rPr>
        <w:t xml:space="preserve">experience with similarly sized projects;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6)</w:t>
      </w:r>
      <w:r>
        <w:rPr>
          <w:color w:val="000000"/>
        </w:rPr>
        <w:tab/>
      </w:r>
      <w:r w:rsidR="00FD7067" w:rsidRPr="007705AC">
        <w:rPr>
          <w:color w:val="000000"/>
        </w:rPr>
        <w:t xml:space="preserve">successful reference checks of the firm;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7)</w:t>
      </w:r>
      <w:r>
        <w:rPr>
          <w:color w:val="000000"/>
        </w:rPr>
        <w:tab/>
      </w:r>
      <w:r w:rsidR="00FD7067" w:rsidRPr="007705AC">
        <w:rPr>
          <w:color w:val="000000"/>
        </w:rPr>
        <w:t>commitment to assign personnel for the duration of the project</w:t>
      </w:r>
      <w:r w:rsidR="00C37FB0">
        <w:rPr>
          <w:color w:val="000000"/>
        </w:rPr>
        <w:t>;</w:t>
      </w:r>
      <w:r w:rsidR="00FD7067" w:rsidRPr="007705AC">
        <w:rPr>
          <w:color w:val="000000"/>
        </w:rPr>
        <w:t xml:space="preserve"> </w:t>
      </w:r>
    </w:p>
    <w:p w:rsidR="00FD7067" w:rsidRPr="007705AC" w:rsidRDefault="00FD7067" w:rsidP="00FD7067">
      <w:pPr>
        <w:rPr>
          <w:color w:val="000000"/>
        </w:rPr>
      </w:pPr>
    </w:p>
    <w:p w:rsidR="00FD7067" w:rsidRPr="007705AC" w:rsidRDefault="00D81DE4" w:rsidP="00D81DE4">
      <w:pPr>
        <w:ind w:left="720" w:firstLine="720"/>
        <w:rPr>
          <w:color w:val="000000"/>
        </w:rPr>
      </w:pPr>
      <w:r>
        <w:rPr>
          <w:color w:val="000000"/>
        </w:rPr>
        <w:t>8)</w:t>
      </w:r>
      <w:r>
        <w:rPr>
          <w:color w:val="000000"/>
        </w:rPr>
        <w:tab/>
      </w:r>
      <w:r w:rsidR="00FD7067" w:rsidRPr="007705AC">
        <w:rPr>
          <w:color w:val="000000"/>
        </w:rPr>
        <w:t xml:space="preserve">qualifications of the entity's design consultants;  </w:t>
      </w:r>
    </w:p>
    <w:p w:rsidR="00FD7067" w:rsidRPr="007705AC" w:rsidRDefault="00FD7067" w:rsidP="00FD7067">
      <w:pPr>
        <w:rPr>
          <w:color w:val="000000"/>
        </w:rPr>
      </w:pPr>
    </w:p>
    <w:p w:rsidR="00FD7067" w:rsidRPr="007705AC" w:rsidRDefault="00D81DE4" w:rsidP="00D81DE4">
      <w:pPr>
        <w:ind w:left="2160" w:hanging="720"/>
        <w:rPr>
          <w:color w:val="000000"/>
        </w:rPr>
      </w:pPr>
      <w:r>
        <w:rPr>
          <w:color w:val="000000"/>
        </w:rPr>
        <w:t>9)</w:t>
      </w:r>
      <w:r>
        <w:rPr>
          <w:color w:val="000000"/>
        </w:rPr>
        <w:tab/>
      </w:r>
      <w:r w:rsidR="00FD7067" w:rsidRPr="007705AC">
        <w:rPr>
          <w:color w:val="000000"/>
        </w:rPr>
        <w:t>CDB prequalification in good standing of any subcontractor proposed to perform any of the 5 subdivisions of work defined in Section 30-30 of the Illinois Procurement Code</w:t>
      </w:r>
      <w:r w:rsidR="00C37FB0">
        <w:rPr>
          <w:color w:val="000000"/>
        </w:rPr>
        <w:t>;</w:t>
      </w:r>
      <w:r w:rsidR="00FD7067" w:rsidRPr="007705AC">
        <w:rPr>
          <w:color w:val="000000"/>
        </w:rPr>
        <w:t xml:space="preserve"> </w:t>
      </w:r>
    </w:p>
    <w:p w:rsidR="00FD7067" w:rsidRPr="007705AC" w:rsidRDefault="00FD7067" w:rsidP="00FD7067">
      <w:pPr>
        <w:rPr>
          <w:color w:val="000000"/>
        </w:rPr>
      </w:pPr>
    </w:p>
    <w:p w:rsidR="00FD7067" w:rsidRPr="007705AC" w:rsidRDefault="00D81DE4" w:rsidP="006A7096">
      <w:pPr>
        <w:ind w:left="2160" w:hanging="828"/>
        <w:rPr>
          <w:color w:val="000000"/>
        </w:rPr>
      </w:pPr>
      <w:r>
        <w:rPr>
          <w:color w:val="000000"/>
        </w:rPr>
        <w:t>10)</w:t>
      </w:r>
      <w:r>
        <w:rPr>
          <w:color w:val="000000"/>
        </w:rPr>
        <w:tab/>
      </w:r>
      <w:r w:rsidR="00C37FB0">
        <w:rPr>
          <w:color w:val="000000"/>
        </w:rPr>
        <w:t>A</w:t>
      </w:r>
      <w:r w:rsidR="00FD7067" w:rsidRPr="007705AC">
        <w:rPr>
          <w:color w:val="000000"/>
        </w:rPr>
        <w:t>bility or past performance in meeting or exhausting good faith efforts to meet the utilization goals for business enterprises established in the Business Enterprise for Minorities, Females, and Persons with Disabilities Act and with Section 2-105 of the Illinois Human Rights Act</w:t>
      </w:r>
      <w:r w:rsidR="00C37FB0">
        <w:rPr>
          <w:color w:val="000000"/>
        </w:rPr>
        <w:t>;</w:t>
      </w:r>
      <w:r w:rsidR="00FD7067" w:rsidRPr="007705AC">
        <w:rPr>
          <w:color w:val="000000"/>
        </w:rPr>
        <w:t xml:space="preserve"> </w:t>
      </w:r>
    </w:p>
    <w:p w:rsidR="00FD7067" w:rsidRPr="007705AC" w:rsidRDefault="00FD7067" w:rsidP="00FD7067">
      <w:pPr>
        <w:rPr>
          <w:color w:val="000000"/>
        </w:rPr>
      </w:pPr>
    </w:p>
    <w:p w:rsidR="00FD7067" w:rsidRPr="007705AC" w:rsidRDefault="00D81DE4" w:rsidP="006A7096">
      <w:pPr>
        <w:ind w:left="720" w:firstLine="648"/>
        <w:rPr>
          <w:color w:val="000000"/>
        </w:rPr>
      </w:pPr>
      <w:r>
        <w:rPr>
          <w:color w:val="000000"/>
        </w:rPr>
        <w:lastRenderedPageBreak/>
        <w:t>11)</w:t>
      </w:r>
      <w:r>
        <w:rPr>
          <w:color w:val="000000"/>
        </w:rPr>
        <w:tab/>
      </w:r>
      <w:r w:rsidR="00FD7067" w:rsidRPr="007705AC">
        <w:rPr>
          <w:color w:val="000000"/>
        </w:rPr>
        <w:t>Other relevant criteria deemed necessary by CDB</w:t>
      </w:r>
      <w:r w:rsidR="00C37FB0">
        <w:rPr>
          <w:color w:val="000000"/>
        </w:rPr>
        <w:t>.</w:t>
      </w:r>
    </w:p>
    <w:p w:rsidR="00FD7067" w:rsidRPr="007705AC" w:rsidRDefault="00FD7067" w:rsidP="00FD7067">
      <w:pPr>
        <w:rPr>
          <w:color w:val="000000"/>
        </w:rPr>
      </w:pPr>
    </w:p>
    <w:p w:rsidR="00FD7067" w:rsidRPr="007705AC" w:rsidRDefault="00D81DE4" w:rsidP="00D81DE4">
      <w:pPr>
        <w:ind w:left="1440" w:hanging="720"/>
        <w:rPr>
          <w:color w:val="000000"/>
        </w:rPr>
      </w:pPr>
      <w:r>
        <w:rPr>
          <w:color w:val="000000"/>
        </w:rPr>
        <w:t>h)</w:t>
      </w:r>
      <w:r>
        <w:rPr>
          <w:color w:val="000000"/>
        </w:rPr>
        <w:tab/>
      </w:r>
      <w:r w:rsidR="00FD7067" w:rsidRPr="007705AC">
        <w:rPr>
          <w:color w:val="000000"/>
        </w:rPr>
        <w:t xml:space="preserve">CDB will eliminate any </w:t>
      </w:r>
      <w:r w:rsidR="00C37FB0">
        <w:rPr>
          <w:color w:val="000000"/>
        </w:rPr>
        <w:t>DB</w:t>
      </w:r>
      <w:r w:rsidR="00FD7067" w:rsidRPr="007705AC">
        <w:rPr>
          <w:color w:val="000000"/>
        </w:rPr>
        <w:t xml:space="preserve"> entity from consideration for evaluation or award if the entity has any pecuniary interest in the project or has other relationships or circumstances, including</w:t>
      </w:r>
      <w:r w:rsidR="00C37FB0">
        <w:rPr>
          <w:color w:val="000000"/>
        </w:rPr>
        <w:t>,</w:t>
      </w:r>
      <w:r w:rsidR="00FD7067" w:rsidRPr="007705AC">
        <w:rPr>
          <w:color w:val="000000"/>
        </w:rPr>
        <w:t xml:space="preserve"> but not limited to, long-term leasehold, mutual performance, or development contracts with </w:t>
      </w:r>
      <w:r w:rsidR="00C37FB0">
        <w:rPr>
          <w:color w:val="000000"/>
        </w:rPr>
        <w:t>CDB</w:t>
      </w:r>
      <w:r w:rsidR="00FD7067" w:rsidRPr="007705AC">
        <w:rPr>
          <w:color w:val="000000"/>
        </w:rPr>
        <w:t xml:space="preserve">, that may give the </w:t>
      </w:r>
      <w:r w:rsidR="00C37FB0">
        <w:rPr>
          <w:color w:val="000000"/>
        </w:rPr>
        <w:t>DB</w:t>
      </w:r>
      <w:r w:rsidR="00FD7067" w:rsidRPr="007705AC">
        <w:rPr>
          <w:color w:val="000000"/>
        </w:rPr>
        <w:t xml:space="preserve"> entity a financial or tangible advantage over other </w:t>
      </w:r>
      <w:r w:rsidR="00C37FB0">
        <w:rPr>
          <w:color w:val="000000"/>
        </w:rPr>
        <w:t>DB</w:t>
      </w:r>
      <w:r w:rsidR="00FD7067" w:rsidRPr="007705AC">
        <w:rPr>
          <w:color w:val="000000"/>
        </w:rPr>
        <w:t xml:space="preserve"> entities in the preparation, evaluation, or performance of the </w:t>
      </w:r>
      <w:r w:rsidR="00C37FB0">
        <w:rPr>
          <w:color w:val="000000"/>
        </w:rPr>
        <w:t>DB</w:t>
      </w:r>
      <w:r w:rsidR="00FD7067" w:rsidRPr="007705AC">
        <w:rPr>
          <w:color w:val="000000"/>
        </w:rPr>
        <w:t xml:space="preserve"> contract or that create the appearance of impropriety. </w:t>
      </w:r>
    </w:p>
    <w:p w:rsidR="00FD7067" w:rsidRPr="007705AC" w:rsidRDefault="00FD7067" w:rsidP="00FD7067">
      <w:pPr>
        <w:rPr>
          <w:color w:val="000000"/>
        </w:rPr>
      </w:pPr>
    </w:p>
    <w:p w:rsidR="00FD7067" w:rsidRPr="007705AC" w:rsidRDefault="00D81DE4" w:rsidP="00D81DE4">
      <w:pPr>
        <w:ind w:left="1440" w:hanging="720"/>
        <w:rPr>
          <w:color w:val="000000"/>
        </w:rPr>
      </w:pPr>
      <w:r>
        <w:rPr>
          <w:color w:val="000000"/>
        </w:rPr>
        <w:t>i)</w:t>
      </w:r>
      <w:r>
        <w:rPr>
          <w:color w:val="000000"/>
        </w:rPr>
        <w:tab/>
      </w:r>
      <w:r w:rsidR="00FD7067" w:rsidRPr="007705AC">
        <w:rPr>
          <w:color w:val="000000"/>
        </w:rPr>
        <w:t>CDB will not consider any proposal that does not include the entity's plan to comply with the requirements established in the Business Enterprise for Minorities, Females, and Persons with Disabilities Act and with Section 2-105 of the Illinois Human Rights Act</w:t>
      </w:r>
      <w:r w:rsidR="00C37FB0">
        <w:rPr>
          <w:color w:val="000000"/>
        </w:rPr>
        <w:t xml:space="preserve"> </w:t>
      </w:r>
      <w:r w:rsidR="00FD7067" w:rsidRPr="007705AC">
        <w:rPr>
          <w:color w:val="000000"/>
        </w:rPr>
        <w:t xml:space="preserve">. </w:t>
      </w:r>
    </w:p>
    <w:p w:rsidR="00FD7067" w:rsidRPr="007705AC" w:rsidRDefault="00FD7067" w:rsidP="00FD7067">
      <w:pPr>
        <w:rPr>
          <w:color w:val="000000"/>
        </w:rPr>
      </w:pPr>
    </w:p>
    <w:p w:rsidR="00FD7067" w:rsidRPr="007705AC" w:rsidRDefault="00D81DE4" w:rsidP="00D81DE4">
      <w:pPr>
        <w:ind w:left="1440" w:hanging="720"/>
        <w:rPr>
          <w:color w:val="000000"/>
        </w:rPr>
      </w:pPr>
      <w:r>
        <w:rPr>
          <w:color w:val="000000"/>
        </w:rPr>
        <w:t>j)</w:t>
      </w:r>
      <w:r>
        <w:rPr>
          <w:color w:val="000000"/>
        </w:rPr>
        <w:tab/>
      </w:r>
      <w:r w:rsidR="00FD7067" w:rsidRPr="007705AC">
        <w:rPr>
          <w:color w:val="000000"/>
        </w:rPr>
        <w:t xml:space="preserve">CDB will publish the names of all </w:t>
      </w:r>
      <w:r w:rsidR="00C37FB0">
        <w:rPr>
          <w:color w:val="000000"/>
        </w:rPr>
        <w:t>DB</w:t>
      </w:r>
      <w:r w:rsidR="00FD7067" w:rsidRPr="007705AC">
        <w:rPr>
          <w:color w:val="000000"/>
        </w:rPr>
        <w:t xml:space="preserve"> entities submitting Phase 1 proposals on CDB</w:t>
      </w:r>
      <w:r>
        <w:rPr>
          <w:color w:val="000000"/>
        </w:rPr>
        <w:t>'</w:t>
      </w:r>
      <w:r w:rsidR="00FD7067" w:rsidRPr="007705AC">
        <w:rPr>
          <w:color w:val="000000"/>
        </w:rPr>
        <w:t>s website in the next Professional Services Bulletin after the deadline for submission.</w:t>
      </w:r>
    </w:p>
    <w:sectPr w:rsidR="00FD7067" w:rsidRPr="007705A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4F" w:rsidRDefault="00F61C4F">
      <w:r>
        <w:separator/>
      </w:r>
    </w:p>
  </w:endnote>
  <w:endnote w:type="continuationSeparator" w:id="0">
    <w:p w:rsidR="00F61C4F" w:rsidRDefault="00F6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4F" w:rsidRDefault="00F61C4F">
      <w:r>
        <w:separator/>
      </w:r>
    </w:p>
  </w:footnote>
  <w:footnote w:type="continuationSeparator" w:id="0">
    <w:p w:rsidR="00F61C4F" w:rsidRDefault="00F61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63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626B"/>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77E3"/>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B36"/>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B74FA"/>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5BCE"/>
    <w:rsid w:val="006A7096"/>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D0636"/>
    <w:rsid w:val="007E29C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3B83"/>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E316C"/>
    <w:rsid w:val="00BF2353"/>
    <w:rsid w:val="00BF25C2"/>
    <w:rsid w:val="00BF3913"/>
    <w:rsid w:val="00BF5AAE"/>
    <w:rsid w:val="00BF5AE7"/>
    <w:rsid w:val="00BF78FB"/>
    <w:rsid w:val="00C1038A"/>
    <w:rsid w:val="00C15FD6"/>
    <w:rsid w:val="00C17F24"/>
    <w:rsid w:val="00C2596B"/>
    <w:rsid w:val="00C319B3"/>
    <w:rsid w:val="00C37FB0"/>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0D45"/>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1DE4"/>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1C4F"/>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06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2012-06-22T00:19:00Z</dcterms:created>
  <dcterms:modified xsi:type="dcterms:W3CDTF">2012-06-22T00:19:00Z</dcterms:modified>
</cp:coreProperties>
</file>