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38" w:rsidRPr="007A5048" w:rsidRDefault="007B6938" w:rsidP="007B6938">
      <w:pPr>
        <w:widowControl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7B6938" w:rsidRPr="007A5048" w:rsidRDefault="007B6938" w:rsidP="007B6938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995.400  General</w:t>
      </w:r>
    </w:p>
    <w:p w:rsidR="007B6938" w:rsidRPr="007A5048" w:rsidRDefault="007B6938" w:rsidP="007B6938">
      <w:pPr>
        <w:widowControl/>
        <w:jc w:val="both"/>
        <w:rPr>
          <w:rFonts w:ascii="Times New Roman" w:hAnsi="Times New Roman"/>
        </w:rPr>
      </w:pPr>
    </w:p>
    <w:p w:rsidR="007B6938" w:rsidRPr="008429F7" w:rsidRDefault="001E5175" w:rsidP="008429F7">
      <w:pPr>
        <w:rPr>
          <w:rFonts w:ascii="Times New Roman" w:hAnsi="Times New Roman"/>
        </w:rPr>
      </w:pPr>
      <w:r>
        <w:rPr>
          <w:rFonts w:ascii="Times New Roman" w:hAnsi="Times New Roman"/>
        </w:rPr>
        <w:t>Suspension, debarment, nullification of prequalification, modification of prequalification, issuance of conditional prequalification, or denial of prequalification by CDB is also applicable to a DB's separate prequalification as an A/E or contractor with CDB, unless the circumstances are directly related to the design-build process and not to the type of performance provided as an A/E or contractor.  In such instances, CDB will issue a written determination supporting its action.</w:t>
      </w:r>
    </w:p>
    <w:sectPr w:rsidR="007B6938" w:rsidRPr="008429F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2B" w:rsidRDefault="006E342B">
      <w:r>
        <w:separator/>
      </w:r>
    </w:p>
  </w:endnote>
  <w:endnote w:type="continuationSeparator" w:id="0">
    <w:p w:rsidR="006E342B" w:rsidRDefault="006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2B" w:rsidRDefault="006E342B">
      <w:r>
        <w:separator/>
      </w:r>
    </w:p>
  </w:footnote>
  <w:footnote w:type="continuationSeparator" w:id="0">
    <w:p w:rsidR="006E342B" w:rsidRDefault="006E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A1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17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6420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59C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808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192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7A1B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42B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938"/>
    <w:rsid w:val="007C4EE5"/>
    <w:rsid w:val="007E5206"/>
    <w:rsid w:val="007F143E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29F7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F11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ED3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2E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C69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93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93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