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94" w:rsidRDefault="00FC6F94" w:rsidP="00FC6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F94" w:rsidRDefault="00FC6F94" w:rsidP="00FC6F94">
      <w:pPr>
        <w:widowControl w:val="0"/>
        <w:autoSpaceDE w:val="0"/>
        <w:autoSpaceDN w:val="0"/>
        <w:adjustRightInd w:val="0"/>
        <w:jc w:val="center"/>
      </w:pPr>
      <w:r>
        <w:t>SUBPART B:  SUSPENSION, DEBARMENT, MODIFICATION OF</w:t>
      </w:r>
    </w:p>
    <w:p w:rsidR="00FC6F94" w:rsidRDefault="00FC6F94" w:rsidP="00FC6F94">
      <w:pPr>
        <w:widowControl w:val="0"/>
        <w:autoSpaceDE w:val="0"/>
        <w:autoSpaceDN w:val="0"/>
        <w:adjustRightInd w:val="0"/>
        <w:jc w:val="center"/>
      </w:pPr>
      <w:r>
        <w:t>PREQUALIFICATION, AND CONDITIONAL PREQUALIFICATION</w:t>
      </w:r>
    </w:p>
    <w:sectPr w:rsidR="00FC6F94" w:rsidSect="00FC6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F94"/>
    <w:rsid w:val="005A56D2"/>
    <w:rsid w:val="005C3366"/>
    <w:rsid w:val="009529DA"/>
    <w:rsid w:val="00AA6C64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SUSPENSION, DEBARMENT, MODIFICATION OF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SUSPENSION, DEBARMENT, MODIFICATION OF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