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76" w:rsidRDefault="00950076" w:rsidP="009500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076" w:rsidRDefault="00950076" w:rsidP="009500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950.420  Executive Director</w:t>
      </w:r>
      <w:r>
        <w:t xml:space="preserve"> </w:t>
      </w:r>
    </w:p>
    <w:p w:rsidR="00950076" w:rsidRDefault="00950076" w:rsidP="00950076">
      <w:pPr>
        <w:widowControl w:val="0"/>
        <w:autoSpaceDE w:val="0"/>
        <w:autoSpaceDN w:val="0"/>
        <w:adjustRightInd w:val="0"/>
      </w:pPr>
    </w:p>
    <w:p w:rsidR="00950076" w:rsidRDefault="00950076" w:rsidP="00950076">
      <w:pPr>
        <w:widowControl w:val="0"/>
        <w:autoSpaceDE w:val="0"/>
        <w:autoSpaceDN w:val="0"/>
        <w:adjustRightInd w:val="0"/>
      </w:pPr>
      <w:r>
        <w:t xml:space="preserve">Following CDB's conference with the contractor, the committee shall forward a recommendation as to a determination of responsibility and prequalification to the Executive Director for consideration.  The contractor will be notified in writing of the Executive Director's decision. </w:t>
      </w:r>
    </w:p>
    <w:p w:rsidR="00950076" w:rsidRDefault="00950076" w:rsidP="00950076">
      <w:pPr>
        <w:widowControl w:val="0"/>
        <w:autoSpaceDE w:val="0"/>
        <w:autoSpaceDN w:val="0"/>
        <w:adjustRightInd w:val="0"/>
      </w:pPr>
    </w:p>
    <w:p w:rsidR="00950076" w:rsidRDefault="00950076" w:rsidP="009500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20007, effective November 9, 1998) </w:t>
      </w:r>
    </w:p>
    <w:sectPr w:rsidR="00950076" w:rsidSect="00950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076"/>
    <w:rsid w:val="003F2E7E"/>
    <w:rsid w:val="004E05B1"/>
    <w:rsid w:val="005C3366"/>
    <w:rsid w:val="00950076"/>
    <w:rsid w:val="00F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