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3D" w:rsidRDefault="00DB453D" w:rsidP="00DB45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453D" w:rsidRDefault="00DB453D" w:rsidP="00DB45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950.390  Settlement</w:t>
      </w:r>
      <w:r>
        <w:t xml:space="preserve"> </w:t>
      </w:r>
    </w:p>
    <w:p w:rsidR="00DB453D" w:rsidRDefault="00DB453D" w:rsidP="00DB453D">
      <w:pPr>
        <w:widowControl w:val="0"/>
        <w:autoSpaceDE w:val="0"/>
        <w:autoSpaceDN w:val="0"/>
        <w:adjustRightInd w:val="0"/>
      </w:pPr>
    </w:p>
    <w:p w:rsidR="00DB453D" w:rsidRDefault="00DB453D" w:rsidP="00DB453D">
      <w:pPr>
        <w:widowControl w:val="0"/>
        <w:autoSpaceDE w:val="0"/>
        <w:autoSpaceDN w:val="0"/>
        <w:adjustRightInd w:val="0"/>
      </w:pPr>
      <w:r>
        <w:t xml:space="preserve">Notwithstanding any provision of this Part, the parties to any contested matter concerning contractor prequalification may at any time enter into an agreement to resolve prequalification issues by settlement. </w:t>
      </w:r>
    </w:p>
    <w:p w:rsidR="00DB453D" w:rsidRDefault="00DB453D" w:rsidP="00DB453D">
      <w:pPr>
        <w:widowControl w:val="0"/>
        <w:autoSpaceDE w:val="0"/>
        <w:autoSpaceDN w:val="0"/>
        <w:adjustRightInd w:val="0"/>
      </w:pPr>
    </w:p>
    <w:p w:rsidR="00DB453D" w:rsidRDefault="00DB453D" w:rsidP="00DB45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20007, effective November 9, 1998) </w:t>
      </w:r>
    </w:p>
    <w:sectPr w:rsidR="00DB453D" w:rsidSect="00DB4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53D"/>
    <w:rsid w:val="005C3366"/>
    <w:rsid w:val="0068353E"/>
    <w:rsid w:val="00D748C2"/>
    <w:rsid w:val="00DB453D"/>
    <w:rsid w:val="00F6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