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F5" w:rsidRDefault="007576F5" w:rsidP="007576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76F5" w:rsidRDefault="007576F5" w:rsidP="007576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950.370  Effect on Current Contracts</w:t>
      </w:r>
      <w:r>
        <w:t xml:space="preserve"> </w:t>
      </w:r>
    </w:p>
    <w:p w:rsidR="007576F5" w:rsidRDefault="007576F5" w:rsidP="007576F5">
      <w:pPr>
        <w:widowControl w:val="0"/>
        <w:autoSpaceDE w:val="0"/>
        <w:autoSpaceDN w:val="0"/>
        <w:adjustRightInd w:val="0"/>
      </w:pPr>
    </w:p>
    <w:p w:rsidR="007576F5" w:rsidRDefault="007576F5" w:rsidP="007576F5">
      <w:pPr>
        <w:widowControl w:val="0"/>
        <w:autoSpaceDE w:val="0"/>
        <w:autoSpaceDN w:val="0"/>
        <w:adjustRightInd w:val="0"/>
      </w:pPr>
      <w:r>
        <w:t xml:space="preserve">Current CDB contracts may be terminated when a contractor is determined to be non-responsible and it is in the public interest to do so, whether or not the non-responsibility has a direct connection with the current contract. Contracts may be terminated with or without further action on the contractor's prequalification. </w:t>
      </w:r>
    </w:p>
    <w:p w:rsidR="007576F5" w:rsidRDefault="007576F5" w:rsidP="007576F5">
      <w:pPr>
        <w:widowControl w:val="0"/>
        <w:autoSpaceDE w:val="0"/>
        <w:autoSpaceDN w:val="0"/>
        <w:adjustRightInd w:val="0"/>
      </w:pPr>
    </w:p>
    <w:p w:rsidR="007576F5" w:rsidRDefault="007576F5" w:rsidP="007576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20007, effective November 9, 1998) </w:t>
      </w:r>
    </w:p>
    <w:sectPr w:rsidR="007576F5" w:rsidSect="007576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76F5"/>
    <w:rsid w:val="001B18A2"/>
    <w:rsid w:val="005C3366"/>
    <w:rsid w:val="007576F5"/>
    <w:rsid w:val="00AF76FD"/>
    <w:rsid w:val="00B3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