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DE" w:rsidRDefault="00F11CDE" w:rsidP="00F11C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1CDE" w:rsidRDefault="00F11CDE" w:rsidP="00F11C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950.140  Special Projects</w:t>
      </w:r>
      <w:r>
        <w:t xml:space="preserve"> </w:t>
      </w:r>
    </w:p>
    <w:p w:rsidR="00F11CDE" w:rsidRDefault="00F11CDE" w:rsidP="00F11CDE">
      <w:pPr>
        <w:widowControl w:val="0"/>
        <w:autoSpaceDE w:val="0"/>
        <w:autoSpaceDN w:val="0"/>
        <w:adjustRightInd w:val="0"/>
      </w:pPr>
    </w:p>
    <w:p w:rsidR="00F11CDE" w:rsidRDefault="00F11CDE" w:rsidP="00F11CDE">
      <w:pPr>
        <w:widowControl w:val="0"/>
        <w:autoSpaceDE w:val="0"/>
        <w:autoSpaceDN w:val="0"/>
        <w:adjustRightInd w:val="0"/>
      </w:pPr>
      <w:r>
        <w:t xml:space="preserve">When CDB determines a construction project is so large or specialized that a special bidder prequalification and responsibility determination is appropriate, CDB may set appropriate standards of acceptability different from those set out herein. Other provisions of this Part shall remain applicable. </w:t>
      </w:r>
    </w:p>
    <w:p w:rsidR="00F11CDE" w:rsidRDefault="00F11CDE" w:rsidP="00F11CDE">
      <w:pPr>
        <w:widowControl w:val="0"/>
        <w:autoSpaceDE w:val="0"/>
        <w:autoSpaceDN w:val="0"/>
        <w:adjustRightInd w:val="0"/>
      </w:pPr>
    </w:p>
    <w:p w:rsidR="00F11CDE" w:rsidRDefault="00F11CDE" w:rsidP="00F11C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20007, effective November 9, 1998) </w:t>
      </w:r>
    </w:p>
    <w:sectPr w:rsidR="00F11CDE" w:rsidSect="00F11C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CDE"/>
    <w:rsid w:val="002E0468"/>
    <w:rsid w:val="005C3366"/>
    <w:rsid w:val="00E021E6"/>
    <w:rsid w:val="00F11CDE"/>
    <w:rsid w:val="00FB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