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E2" w:rsidRDefault="00853CE2" w:rsidP="00853C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3CE2" w:rsidRDefault="00853CE2" w:rsidP="00853C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750.40  Contracts or Subcontracts with Religious Entities</w:t>
      </w:r>
      <w:r>
        <w:t xml:space="preserve"> </w:t>
      </w:r>
    </w:p>
    <w:p w:rsidR="00853CE2" w:rsidRDefault="00853CE2" w:rsidP="00853CE2">
      <w:pPr>
        <w:widowControl w:val="0"/>
        <w:autoSpaceDE w:val="0"/>
        <w:autoSpaceDN w:val="0"/>
        <w:adjustRightInd w:val="0"/>
      </w:pPr>
    </w:p>
    <w:p w:rsidR="00853CE2" w:rsidRDefault="00853CE2" w:rsidP="00853CE2">
      <w:pPr>
        <w:widowControl w:val="0"/>
        <w:autoSpaceDE w:val="0"/>
        <w:autoSpaceDN w:val="0"/>
        <w:adjustRightInd w:val="0"/>
      </w:pPr>
      <w:r>
        <w:t xml:space="preserve">The requirements of the Equal Employment Opportunity Clause set forth in Appendix A hereof with respect to nondiscrimination because of religion shall not apply to a religious corporation, association, educational institution or society with respect to the employment of individuals of a particular religion for the carrying on by such corporation, association, educational institution or society of its activities. </w:t>
      </w:r>
    </w:p>
    <w:p w:rsidR="00853CE2" w:rsidRDefault="00853CE2" w:rsidP="00853CE2">
      <w:pPr>
        <w:widowControl w:val="0"/>
        <w:autoSpaceDE w:val="0"/>
        <w:autoSpaceDN w:val="0"/>
        <w:adjustRightInd w:val="0"/>
      </w:pPr>
    </w:p>
    <w:p w:rsidR="00853CE2" w:rsidRDefault="00853CE2" w:rsidP="00853CE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5 Ill. Reg. 1627, effective February 9, 1981) </w:t>
      </w:r>
    </w:p>
    <w:sectPr w:rsidR="00853CE2" w:rsidSect="00853C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3CE2"/>
    <w:rsid w:val="00232DD8"/>
    <w:rsid w:val="005C3366"/>
    <w:rsid w:val="006361B1"/>
    <w:rsid w:val="00853CE2"/>
    <w:rsid w:val="0087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