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22" w:rsidRDefault="00295122" w:rsidP="00295122">
      <w:pPr>
        <w:widowControl w:val="0"/>
        <w:autoSpaceDE w:val="0"/>
        <w:autoSpaceDN w:val="0"/>
        <w:adjustRightInd w:val="0"/>
      </w:pPr>
      <w:bookmarkStart w:id="0" w:name="_GoBack"/>
      <w:bookmarkEnd w:id="0"/>
    </w:p>
    <w:p w:rsidR="00295122" w:rsidRDefault="00295122" w:rsidP="00295122">
      <w:pPr>
        <w:widowControl w:val="0"/>
        <w:autoSpaceDE w:val="0"/>
        <w:autoSpaceDN w:val="0"/>
        <w:adjustRightInd w:val="0"/>
      </w:pPr>
      <w:r>
        <w:rPr>
          <w:b/>
          <w:bCs/>
        </w:rPr>
        <w:t>Section 650.180  Balance Sheet Schedules</w:t>
      </w:r>
      <w:r>
        <w:t xml:space="preserve"> </w:t>
      </w:r>
    </w:p>
    <w:p w:rsidR="00295122" w:rsidRDefault="00295122" w:rsidP="00295122">
      <w:pPr>
        <w:widowControl w:val="0"/>
        <w:autoSpaceDE w:val="0"/>
        <w:autoSpaceDN w:val="0"/>
        <w:adjustRightInd w:val="0"/>
      </w:pPr>
    </w:p>
    <w:p w:rsidR="00295122" w:rsidRDefault="00295122" w:rsidP="00295122">
      <w:pPr>
        <w:widowControl w:val="0"/>
        <w:autoSpaceDE w:val="0"/>
        <w:autoSpaceDN w:val="0"/>
        <w:adjustRightInd w:val="0"/>
      </w:pPr>
      <w:r>
        <w:t xml:space="preserve">In order to provide for the determination of ratings in as objective a manner as possible, the Department has established specific evaluations and classifications for a number of financial rating items.  The value attached to the affected financial rating items shall be calculated by decreasing its face value by the discount established in this Part for that item.  Where a valuation or classification materially affects an applicant's financial rating, and insufficient information has been submitted, the Department may ask for clarification or substantiation of a classification made by the accountant in preparing the statement.  If schedules in the format established in the "Contractor's Statement of Experience and Financial Condition" are not completed, the maximum discounts will be applied.  The various financial rating items and their corresponding discounts are delineated as follows: </w:t>
      </w:r>
    </w:p>
    <w:p w:rsidR="004F20E8" w:rsidRDefault="004F20E8" w:rsidP="00295122">
      <w:pPr>
        <w:widowControl w:val="0"/>
        <w:autoSpaceDE w:val="0"/>
        <w:autoSpaceDN w:val="0"/>
        <w:adjustRightInd w:val="0"/>
      </w:pPr>
    </w:p>
    <w:p w:rsidR="00295122" w:rsidRDefault="00FD574D" w:rsidP="00295122">
      <w:pPr>
        <w:widowControl w:val="0"/>
        <w:autoSpaceDE w:val="0"/>
        <w:autoSpaceDN w:val="0"/>
        <w:adjustRightInd w:val="0"/>
        <w:ind w:left="1440" w:hanging="720"/>
      </w:pPr>
      <w:r>
        <w:t>a</w:t>
      </w:r>
      <w:r w:rsidR="00295122">
        <w:t>)</w:t>
      </w:r>
      <w:r w:rsidR="00295122">
        <w:tab/>
        <w:t xml:space="preserve">Current Assets </w:t>
      </w:r>
    </w:p>
    <w:p w:rsidR="004F20E8" w:rsidRDefault="004F20E8"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1)</w:t>
      </w:r>
      <w:r>
        <w:tab/>
        <w:t xml:space="preserve">Schedule A </w:t>
      </w:r>
      <w:r w:rsidR="001061AC">
        <w:t xml:space="preserve">– </w:t>
      </w:r>
      <w:r>
        <w:t xml:space="preserve">Cash </w:t>
      </w:r>
    </w:p>
    <w:p w:rsidR="00295122" w:rsidRDefault="00295122" w:rsidP="00A7399A">
      <w:pPr>
        <w:widowControl w:val="0"/>
        <w:autoSpaceDE w:val="0"/>
        <w:autoSpaceDN w:val="0"/>
        <w:adjustRightInd w:val="0"/>
        <w:ind w:left="2160"/>
      </w:pPr>
      <w:r>
        <w:t xml:space="preserve">Cash includes currency, personal checks, bank drafts, money orders, cashiers checks and money on deposit with banks. </w:t>
      </w:r>
      <w:r w:rsidR="003B3522">
        <w:t xml:space="preserve"> </w:t>
      </w:r>
      <w:r>
        <w:t xml:space="preserve">The Department classifies cash as a current asset and attaches no discount, provided: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 xml:space="preserve">Deposits made for a sole proprietorship are held in the name of either the proprietor solely, or jointly with the proprietor's spouse.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B)</w:t>
      </w:r>
      <w:r>
        <w:tab/>
        <w:t xml:space="preserve">Deposits made for a partnership are held either in the name of any of the general partners, or in the name of the partnership.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C)</w:t>
      </w:r>
      <w:r>
        <w:tab/>
        <w:t xml:space="preserve">Deposits made for a corporation are held in the name of the corporation only.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D)</w:t>
      </w:r>
      <w:r>
        <w:tab/>
        <w:t xml:space="preserve">Deposits are free of debt or obligation.  Certificates of deposits and other cash assets that are pledged will be discounted by the amount of debt or obligation.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E)</w:t>
      </w:r>
      <w:r>
        <w:tab/>
        <w:t xml:space="preserve">For a firm in an unaudited status, a financial release must be submitted by the firm's bank to verify balances as of the balance sheet date. </w:t>
      </w:r>
    </w:p>
    <w:p w:rsidR="004F20E8" w:rsidRDefault="004F20E8"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2)</w:t>
      </w:r>
      <w:r>
        <w:tab/>
        <w:t xml:space="preserve">Schedule B </w:t>
      </w:r>
      <w:r w:rsidR="001061AC">
        <w:t xml:space="preserve">– </w:t>
      </w:r>
      <w:r>
        <w:t xml:space="preserve">Notes Receivable </w:t>
      </w:r>
    </w:p>
    <w:p w:rsidR="00295122" w:rsidRDefault="00295122" w:rsidP="001061AC">
      <w:pPr>
        <w:widowControl w:val="0"/>
        <w:autoSpaceDE w:val="0"/>
        <w:autoSpaceDN w:val="0"/>
        <w:adjustRightInd w:val="0"/>
        <w:ind w:left="2160"/>
      </w:pPr>
      <w:r>
        <w:t xml:space="preserve">Notes receivable will be evaluated and classified as follows: </w:t>
      </w:r>
    </w:p>
    <w:p w:rsidR="00A7399A" w:rsidRDefault="00A7399A" w:rsidP="001061AC">
      <w:pPr>
        <w:widowControl w:val="0"/>
        <w:autoSpaceDE w:val="0"/>
        <w:autoSpaceDN w:val="0"/>
        <w:adjustRightInd w:val="0"/>
        <w:ind w:left="2160"/>
      </w:pPr>
    </w:p>
    <w:tbl>
      <w:tblPr>
        <w:tblW w:w="0" w:type="auto"/>
        <w:tblInd w:w="2160" w:type="dxa"/>
        <w:tblLook w:val="0000" w:firstRow="0" w:lastRow="0" w:firstColumn="0" w:lastColumn="0" w:noHBand="0" w:noVBand="0"/>
      </w:tblPr>
      <w:tblGrid>
        <w:gridCol w:w="738"/>
        <w:gridCol w:w="5130"/>
        <w:gridCol w:w="1548"/>
      </w:tblGrid>
      <w:tr w:rsidR="00A7399A" w:rsidTr="00A7399A">
        <w:tblPrEx>
          <w:tblCellMar>
            <w:top w:w="0" w:type="dxa"/>
            <w:bottom w:w="0" w:type="dxa"/>
          </w:tblCellMar>
        </w:tblPrEx>
        <w:trPr>
          <w:trHeight w:val="405"/>
        </w:trPr>
        <w:tc>
          <w:tcPr>
            <w:tcW w:w="738" w:type="dxa"/>
          </w:tcPr>
          <w:p w:rsidR="00A7399A" w:rsidRDefault="00A7399A" w:rsidP="001061AC">
            <w:pPr>
              <w:widowControl w:val="0"/>
              <w:autoSpaceDE w:val="0"/>
              <w:autoSpaceDN w:val="0"/>
              <w:adjustRightInd w:val="0"/>
            </w:pPr>
          </w:p>
        </w:tc>
        <w:tc>
          <w:tcPr>
            <w:tcW w:w="5130" w:type="dxa"/>
          </w:tcPr>
          <w:p w:rsidR="00A7399A" w:rsidRDefault="00A7399A" w:rsidP="001061AC">
            <w:pPr>
              <w:widowControl w:val="0"/>
              <w:autoSpaceDE w:val="0"/>
              <w:autoSpaceDN w:val="0"/>
              <w:adjustRightInd w:val="0"/>
            </w:pPr>
          </w:p>
        </w:tc>
        <w:tc>
          <w:tcPr>
            <w:tcW w:w="1548" w:type="dxa"/>
          </w:tcPr>
          <w:p w:rsidR="00A7399A" w:rsidRDefault="00A7399A" w:rsidP="00A7399A">
            <w:pPr>
              <w:widowControl w:val="0"/>
              <w:autoSpaceDE w:val="0"/>
              <w:autoSpaceDN w:val="0"/>
              <w:adjustRightInd w:val="0"/>
              <w:jc w:val="center"/>
            </w:pPr>
            <w:r>
              <w:t>Discount</w:t>
            </w:r>
          </w:p>
        </w:tc>
      </w:tr>
      <w:tr w:rsidR="00A7399A" w:rsidTr="00A7399A">
        <w:tblPrEx>
          <w:tblCellMar>
            <w:top w:w="0" w:type="dxa"/>
            <w:bottom w:w="0" w:type="dxa"/>
          </w:tblCellMar>
        </w:tblPrEx>
        <w:trPr>
          <w:trHeight w:val="549"/>
        </w:trPr>
        <w:tc>
          <w:tcPr>
            <w:tcW w:w="738" w:type="dxa"/>
          </w:tcPr>
          <w:p w:rsidR="00A7399A" w:rsidRDefault="00A7399A" w:rsidP="001061AC">
            <w:pPr>
              <w:widowControl w:val="0"/>
              <w:autoSpaceDE w:val="0"/>
              <w:autoSpaceDN w:val="0"/>
              <w:adjustRightInd w:val="0"/>
            </w:pPr>
            <w:r>
              <w:t>A)</w:t>
            </w:r>
          </w:p>
        </w:tc>
        <w:tc>
          <w:tcPr>
            <w:tcW w:w="5130" w:type="dxa"/>
          </w:tcPr>
          <w:p w:rsidR="00A7399A" w:rsidRDefault="00A7399A" w:rsidP="001061AC">
            <w:pPr>
              <w:widowControl w:val="0"/>
              <w:autoSpaceDE w:val="0"/>
              <w:autoSpaceDN w:val="0"/>
              <w:adjustRightInd w:val="0"/>
            </w:pPr>
            <w:r>
              <w:t>Secured notes receivable due within one year</w:t>
            </w:r>
          </w:p>
        </w:tc>
        <w:tc>
          <w:tcPr>
            <w:tcW w:w="1548" w:type="dxa"/>
          </w:tcPr>
          <w:p w:rsidR="00A7399A" w:rsidRDefault="00A7399A" w:rsidP="00A7399A">
            <w:pPr>
              <w:widowControl w:val="0"/>
              <w:autoSpaceDE w:val="0"/>
              <w:autoSpaceDN w:val="0"/>
              <w:adjustRightInd w:val="0"/>
              <w:jc w:val="center"/>
            </w:pPr>
            <w:r>
              <w:t>0%</w:t>
            </w:r>
          </w:p>
        </w:tc>
      </w:tr>
      <w:tr w:rsidR="00A7399A" w:rsidTr="00A7399A">
        <w:tblPrEx>
          <w:tblCellMar>
            <w:top w:w="0" w:type="dxa"/>
            <w:bottom w:w="0" w:type="dxa"/>
          </w:tblCellMar>
        </w:tblPrEx>
        <w:trPr>
          <w:trHeight w:val="495"/>
        </w:trPr>
        <w:tc>
          <w:tcPr>
            <w:tcW w:w="738" w:type="dxa"/>
          </w:tcPr>
          <w:p w:rsidR="00A7399A" w:rsidRDefault="00A7399A" w:rsidP="001061AC">
            <w:pPr>
              <w:widowControl w:val="0"/>
              <w:autoSpaceDE w:val="0"/>
              <w:autoSpaceDN w:val="0"/>
              <w:adjustRightInd w:val="0"/>
            </w:pPr>
            <w:r>
              <w:t>B)</w:t>
            </w:r>
          </w:p>
        </w:tc>
        <w:tc>
          <w:tcPr>
            <w:tcW w:w="5130" w:type="dxa"/>
          </w:tcPr>
          <w:p w:rsidR="00A7399A" w:rsidRDefault="00A7399A" w:rsidP="001061AC">
            <w:pPr>
              <w:widowControl w:val="0"/>
              <w:autoSpaceDE w:val="0"/>
              <w:autoSpaceDN w:val="0"/>
              <w:adjustRightInd w:val="0"/>
            </w:pPr>
            <w:r>
              <w:t>Unsecured notes receivable</w:t>
            </w:r>
          </w:p>
        </w:tc>
        <w:tc>
          <w:tcPr>
            <w:tcW w:w="1548" w:type="dxa"/>
          </w:tcPr>
          <w:p w:rsidR="00A7399A" w:rsidRDefault="00A7399A" w:rsidP="00A7399A">
            <w:pPr>
              <w:widowControl w:val="0"/>
              <w:autoSpaceDE w:val="0"/>
              <w:autoSpaceDN w:val="0"/>
              <w:adjustRightInd w:val="0"/>
              <w:jc w:val="center"/>
            </w:pPr>
            <w:r>
              <w:t>100%</w:t>
            </w:r>
          </w:p>
        </w:tc>
      </w:tr>
      <w:tr w:rsidR="00A7399A" w:rsidTr="00A7399A">
        <w:tblPrEx>
          <w:tblCellMar>
            <w:top w:w="0" w:type="dxa"/>
            <w:bottom w:w="0" w:type="dxa"/>
          </w:tblCellMar>
        </w:tblPrEx>
        <w:trPr>
          <w:trHeight w:val="1089"/>
        </w:trPr>
        <w:tc>
          <w:tcPr>
            <w:tcW w:w="738" w:type="dxa"/>
          </w:tcPr>
          <w:p w:rsidR="00A7399A" w:rsidRDefault="00A7399A" w:rsidP="001061AC">
            <w:pPr>
              <w:widowControl w:val="0"/>
              <w:autoSpaceDE w:val="0"/>
              <w:autoSpaceDN w:val="0"/>
              <w:adjustRightInd w:val="0"/>
            </w:pPr>
            <w:r>
              <w:lastRenderedPageBreak/>
              <w:t>C)</w:t>
            </w:r>
          </w:p>
        </w:tc>
        <w:tc>
          <w:tcPr>
            <w:tcW w:w="5130" w:type="dxa"/>
          </w:tcPr>
          <w:p w:rsidR="00A7399A" w:rsidRDefault="00A7399A" w:rsidP="001061AC">
            <w:pPr>
              <w:widowControl w:val="0"/>
              <w:autoSpaceDE w:val="0"/>
              <w:autoSpaceDN w:val="0"/>
              <w:adjustRightInd w:val="0"/>
            </w:pPr>
            <w:r>
              <w:t>Any note receivable, or portion thereof, which will not be due and payable or is not expected to be collected within one year from the statement date</w:t>
            </w:r>
          </w:p>
        </w:tc>
        <w:tc>
          <w:tcPr>
            <w:tcW w:w="1548" w:type="dxa"/>
          </w:tcPr>
          <w:p w:rsidR="00A7399A" w:rsidRDefault="00A7399A" w:rsidP="00A7399A">
            <w:pPr>
              <w:widowControl w:val="0"/>
              <w:autoSpaceDE w:val="0"/>
              <w:autoSpaceDN w:val="0"/>
              <w:adjustRightInd w:val="0"/>
              <w:jc w:val="center"/>
            </w:pPr>
            <w:r>
              <w:t>100%</w:t>
            </w:r>
          </w:p>
        </w:tc>
      </w:tr>
      <w:tr w:rsidR="00A7399A" w:rsidTr="00A7399A">
        <w:tblPrEx>
          <w:tblCellMar>
            <w:top w:w="0" w:type="dxa"/>
            <w:bottom w:w="0" w:type="dxa"/>
          </w:tblCellMar>
        </w:tblPrEx>
        <w:tc>
          <w:tcPr>
            <w:tcW w:w="738" w:type="dxa"/>
          </w:tcPr>
          <w:p w:rsidR="00A7399A" w:rsidRDefault="00A7399A" w:rsidP="001061AC">
            <w:pPr>
              <w:widowControl w:val="0"/>
              <w:autoSpaceDE w:val="0"/>
              <w:autoSpaceDN w:val="0"/>
              <w:adjustRightInd w:val="0"/>
            </w:pPr>
            <w:r>
              <w:t>D)</w:t>
            </w:r>
          </w:p>
        </w:tc>
        <w:tc>
          <w:tcPr>
            <w:tcW w:w="5130" w:type="dxa"/>
          </w:tcPr>
          <w:p w:rsidR="00A7399A" w:rsidRDefault="00A7399A" w:rsidP="001061AC">
            <w:pPr>
              <w:widowControl w:val="0"/>
              <w:autoSpaceDE w:val="0"/>
              <w:autoSpaceDN w:val="0"/>
              <w:adjustRightInd w:val="0"/>
            </w:pPr>
            <w:r>
              <w:t>Notes receivable from stockholders, officers, directors, employees, parent, subsidiaries and affiliates</w:t>
            </w:r>
          </w:p>
        </w:tc>
        <w:tc>
          <w:tcPr>
            <w:tcW w:w="1548" w:type="dxa"/>
          </w:tcPr>
          <w:p w:rsidR="00A7399A" w:rsidRDefault="00A7399A" w:rsidP="00A7399A">
            <w:pPr>
              <w:widowControl w:val="0"/>
              <w:autoSpaceDE w:val="0"/>
              <w:autoSpaceDN w:val="0"/>
              <w:adjustRightInd w:val="0"/>
              <w:jc w:val="center"/>
            </w:pPr>
            <w:r>
              <w:t>100%</w:t>
            </w:r>
          </w:p>
        </w:tc>
      </w:tr>
    </w:tbl>
    <w:p w:rsidR="00295122" w:rsidRDefault="00295122"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3)</w:t>
      </w:r>
      <w:r>
        <w:tab/>
        <w:t xml:space="preserve">Schedule C </w:t>
      </w:r>
      <w:r w:rsidR="001061AC">
        <w:t xml:space="preserve">– </w:t>
      </w:r>
      <w:r>
        <w:t xml:space="preserve">Certified and Cashier's Checks on Deposit </w:t>
      </w:r>
    </w:p>
    <w:p w:rsidR="00295122" w:rsidRDefault="00295122" w:rsidP="001061AC">
      <w:pPr>
        <w:widowControl w:val="0"/>
        <w:autoSpaceDE w:val="0"/>
        <w:autoSpaceDN w:val="0"/>
        <w:adjustRightInd w:val="0"/>
        <w:ind w:left="2160"/>
      </w:pPr>
      <w:r>
        <w:t xml:space="preserve">Deposits which may be included are those which are expected to be refunded within the current period or upon request of the depositor.  An example is a deposit for a proposal guarantee.  Purchase deposits on real estate and equipment will be included in determining the value of those fixed assets.  All other deposits will be discounted 100 percent. </w:t>
      </w:r>
    </w:p>
    <w:p w:rsidR="003B3522" w:rsidRDefault="003B3522"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4)</w:t>
      </w:r>
      <w:r>
        <w:tab/>
        <w:t xml:space="preserve">Schedule D </w:t>
      </w:r>
      <w:r w:rsidR="003D3648">
        <w:t>–</w:t>
      </w:r>
      <w:r>
        <w:t xml:space="preserve"> Accounts Receivable </w:t>
      </w:r>
      <w:r w:rsidR="003D3648">
        <w:t>–</w:t>
      </w:r>
      <w:r>
        <w:t xml:space="preserve"> Contracts </w:t>
      </w:r>
    </w:p>
    <w:p w:rsidR="00295122" w:rsidRDefault="00295122" w:rsidP="001061AC">
      <w:pPr>
        <w:widowControl w:val="0"/>
        <w:autoSpaceDE w:val="0"/>
        <w:autoSpaceDN w:val="0"/>
        <w:adjustRightInd w:val="0"/>
        <w:ind w:left="2160"/>
      </w:pPr>
      <w:r>
        <w:t xml:space="preserve">Accounts receivable from federal and State agencies for all contracts, and from local agencies for transportation contracts are considered as current assets regardless of the contract completion date.  If the applicant has completed work not covered by current pay estimates and an item for such work is shown, the accountant shall obtain evidence in writing from the parties for whom the work was performed to justify such an item.  Accounts receivable shall be evaluated as follows: </w:t>
      </w:r>
    </w:p>
    <w:p w:rsidR="00295122" w:rsidRDefault="00295122" w:rsidP="00295122">
      <w:pPr>
        <w:widowControl w:val="0"/>
        <w:autoSpaceDE w:val="0"/>
        <w:autoSpaceDN w:val="0"/>
        <w:adjustRightInd w:val="0"/>
        <w:ind w:left="2160" w:hanging="720"/>
      </w:pPr>
    </w:p>
    <w:tbl>
      <w:tblPr>
        <w:tblW w:w="0" w:type="auto"/>
        <w:tblInd w:w="2160" w:type="dxa"/>
        <w:tblLook w:val="0000" w:firstRow="0" w:lastRow="0" w:firstColumn="0" w:lastColumn="0" w:noHBand="0" w:noVBand="0"/>
      </w:tblPr>
      <w:tblGrid>
        <w:gridCol w:w="738"/>
        <w:gridCol w:w="5130"/>
        <w:gridCol w:w="1548"/>
      </w:tblGrid>
      <w:tr w:rsidR="00A7399A" w:rsidTr="00117ADB">
        <w:tblPrEx>
          <w:tblCellMar>
            <w:top w:w="0" w:type="dxa"/>
            <w:bottom w:w="0" w:type="dxa"/>
          </w:tblCellMar>
        </w:tblPrEx>
        <w:trPr>
          <w:trHeight w:val="405"/>
        </w:trPr>
        <w:tc>
          <w:tcPr>
            <w:tcW w:w="738" w:type="dxa"/>
          </w:tcPr>
          <w:p w:rsidR="00A7399A" w:rsidRDefault="00A7399A" w:rsidP="00117ADB">
            <w:pPr>
              <w:widowControl w:val="0"/>
              <w:autoSpaceDE w:val="0"/>
              <w:autoSpaceDN w:val="0"/>
              <w:adjustRightInd w:val="0"/>
            </w:pPr>
          </w:p>
        </w:tc>
        <w:tc>
          <w:tcPr>
            <w:tcW w:w="5130" w:type="dxa"/>
          </w:tcPr>
          <w:p w:rsidR="00A7399A" w:rsidRDefault="00A7399A" w:rsidP="005862CD">
            <w:pPr>
              <w:widowControl w:val="0"/>
              <w:autoSpaceDE w:val="0"/>
              <w:autoSpaceDN w:val="0"/>
              <w:adjustRightInd w:val="0"/>
            </w:pPr>
          </w:p>
        </w:tc>
        <w:tc>
          <w:tcPr>
            <w:tcW w:w="1548" w:type="dxa"/>
          </w:tcPr>
          <w:p w:rsidR="00A7399A" w:rsidRDefault="00A7399A" w:rsidP="00117ADB">
            <w:pPr>
              <w:widowControl w:val="0"/>
              <w:autoSpaceDE w:val="0"/>
              <w:autoSpaceDN w:val="0"/>
              <w:adjustRightInd w:val="0"/>
              <w:jc w:val="center"/>
            </w:pPr>
            <w:r>
              <w:t>Discount</w:t>
            </w:r>
          </w:p>
        </w:tc>
      </w:tr>
      <w:tr w:rsidR="00A7399A" w:rsidTr="00A7399A">
        <w:tblPrEx>
          <w:tblCellMar>
            <w:top w:w="0" w:type="dxa"/>
            <w:bottom w:w="0" w:type="dxa"/>
          </w:tblCellMar>
        </w:tblPrEx>
        <w:trPr>
          <w:trHeight w:val="765"/>
        </w:trPr>
        <w:tc>
          <w:tcPr>
            <w:tcW w:w="738" w:type="dxa"/>
          </w:tcPr>
          <w:p w:rsidR="00A7399A" w:rsidRDefault="00A7399A" w:rsidP="00117ADB">
            <w:pPr>
              <w:widowControl w:val="0"/>
              <w:autoSpaceDE w:val="0"/>
              <w:autoSpaceDN w:val="0"/>
              <w:adjustRightInd w:val="0"/>
            </w:pPr>
            <w:r>
              <w:t>A)</w:t>
            </w:r>
          </w:p>
        </w:tc>
        <w:tc>
          <w:tcPr>
            <w:tcW w:w="5130" w:type="dxa"/>
          </w:tcPr>
          <w:p w:rsidR="00A7399A" w:rsidRDefault="00A7399A" w:rsidP="005862CD">
            <w:pPr>
              <w:widowControl w:val="0"/>
              <w:autoSpaceDE w:val="0"/>
              <w:autoSpaceDN w:val="0"/>
              <w:adjustRightInd w:val="0"/>
            </w:pPr>
            <w:r>
              <w:t>From federal and State agency contracts and local agency transportation contracts.</w:t>
            </w:r>
          </w:p>
        </w:tc>
        <w:tc>
          <w:tcPr>
            <w:tcW w:w="1548" w:type="dxa"/>
          </w:tcPr>
          <w:p w:rsidR="00A7399A" w:rsidRDefault="00A7399A" w:rsidP="00117ADB">
            <w:pPr>
              <w:widowControl w:val="0"/>
              <w:autoSpaceDE w:val="0"/>
              <w:autoSpaceDN w:val="0"/>
              <w:adjustRightInd w:val="0"/>
              <w:ind w:left="-434" w:right="-469"/>
              <w:jc w:val="center"/>
            </w:pPr>
            <w:r>
              <w:t>0%</w:t>
            </w:r>
          </w:p>
        </w:tc>
      </w:tr>
      <w:tr w:rsidR="00A7399A" w:rsidTr="00A7399A">
        <w:tblPrEx>
          <w:tblCellMar>
            <w:top w:w="0" w:type="dxa"/>
            <w:bottom w:w="0" w:type="dxa"/>
          </w:tblCellMar>
        </w:tblPrEx>
        <w:trPr>
          <w:trHeight w:val="1602"/>
        </w:trPr>
        <w:tc>
          <w:tcPr>
            <w:tcW w:w="738" w:type="dxa"/>
          </w:tcPr>
          <w:p w:rsidR="00A7399A" w:rsidRDefault="00A7399A" w:rsidP="00117ADB">
            <w:pPr>
              <w:widowControl w:val="0"/>
              <w:autoSpaceDE w:val="0"/>
              <w:autoSpaceDN w:val="0"/>
              <w:adjustRightInd w:val="0"/>
            </w:pPr>
            <w:r>
              <w:t>B)</w:t>
            </w:r>
          </w:p>
        </w:tc>
        <w:tc>
          <w:tcPr>
            <w:tcW w:w="5130" w:type="dxa"/>
          </w:tcPr>
          <w:p w:rsidR="00A7399A" w:rsidRDefault="00A7399A" w:rsidP="005862CD">
            <w:pPr>
              <w:widowControl w:val="0"/>
              <w:autoSpaceDE w:val="0"/>
              <w:autoSpaceDN w:val="0"/>
              <w:adjustRightInd w:val="0"/>
            </w:pPr>
            <w:r>
              <w:t>From contractors on federal and State agency contracts and local agency transportation contracts. (Note:  The receivables in subsections (a)(4)(A) and (B) must be clearly denoted on Schedule D in order to escape discount.)</w:t>
            </w:r>
          </w:p>
        </w:tc>
        <w:tc>
          <w:tcPr>
            <w:tcW w:w="1548" w:type="dxa"/>
          </w:tcPr>
          <w:p w:rsidR="00A7399A" w:rsidRDefault="00A7399A" w:rsidP="00117ADB">
            <w:pPr>
              <w:widowControl w:val="0"/>
              <w:autoSpaceDE w:val="0"/>
              <w:autoSpaceDN w:val="0"/>
              <w:adjustRightInd w:val="0"/>
              <w:ind w:left="-434" w:right="-469"/>
              <w:jc w:val="center"/>
            </w:pPr>
            <w:r>
              <w:t>0%</w:t>
            </w:r>
          </w:p>
        </w:tc>
      </w:tr>
      <w:tr w:rsidR="00A7399A" w:rsidTr="00A7399A">
        <w:tblPrEx>
          <w:tblCellMar>
            <w:top w:w="0" w:type="dxa"/>
            <w:bottom w:w="0" w:type="dxa"/>
          </w:tblCellMar>
        </w:tblPrEx>
        <w:trPr>
          <w:trHeight w:val="459"/>
        </w:trPr>
        <w:tc>
          <w:tcPr>
            <w:tcW w:w="738" w:type="dxa"/>
          </w:tcPr>
          <w:p w:rsidR="00A7399A" w:rsidRDefault="00A7399A" w:rsidP="00117ADB">
            <w:pPr>
              <w:widowControl w:val="0"/>
              <w:autoSpaceDE w:val="0"/>
              <w:autoSpaceDN w:val="0"/>
              <w:adjustRightInd w:val="0"/>
            </w:pPr>
            <w:r>
              <w:t>C)</w:t>
            </w:r>
          </w:p>
        </w:tc>
        <w:tc>
          <w:tcPr>
            <w:tcW w:w="5130" w:type="dxa"/>
          </w:tcPr>
          <w:p w:rsidR="00A7399A" w:rsidRDefault="00A7399A" w:rsidP="005862CD">
            <w:pPr>
              <w:widowControl w:val="0"/>
              <w:autoSpaceDE w:val="0"/>
              <w:autoSpaceDN w:val="0"/>
              <w:adjustRightInd w:val="0"/>
            </w:pPr>
            <w:r>
              <w:t>From other contracts or entities.</w:t>
            </w:r>
          </w:p>
        </w:tc>
        <w:tc>
          <w:tcPr>
            <w:tcW w:w="1548" w:type="dxa"/>
          </w:tcPr>
          <w:p w:rsidR="00A7399A" w:rsidRDefault="00A7399A" w:rsidP="00117ADB">
            <w:pPr>
              <w:widowControl w:val="0"/>
              <w:autoSpaceDE w:val="0"/>
              <w:autoSpaceDN w:val="0"/>
              <w:adjustRightInd w:val="0"/>
              <w:ind w:left="-434" w:right="-469"/>
              <w:jc w:val="center"/>
            </w:pPr>
            <w:r>
              <w:t>10%</w:t>
            </w:r>
          </w:p>
        </w:tc>
      </w:tr>
      <w:tr w:rsidR="00A7399A" w:rsidTr="00A7399A">
        <w:tblPrEx>
          <w:tblCellMar>
            <w:top w:w="0" w:type="dxa"/>
            <w:bottom w:w="0" w:type="dxa"/>
          </w:tblCellMar>
        </w:tblPrEx>
        <w:trPr>
          <w:trHeight w:val="486"/>
        </w:trPr>
        <w:tc>
          <w:tcPr>
            <w:tcW w:w="738" w:type="dxa"/>
          </w:tcPr>
          <w:p w:rsidR="00A7399A" w:rsidRDefault="00A7399A" w:rsidP="00117ADB">
            <w:pPr>
              <w:widowControl w:val="0"/>
              <w:autoSpaceDE w:val="0"/>
              <w:autoSpaceDN w:val="0"/>
              <w:adjustRightInd w:val="0"/>
            </w:pPr>
            <w:r>
              <w:t>D)</w:t>
            </w:r>
          </w:p>
        </w:tc>
        <w:tc>
          <w:tcPr>
            <w:tcW w:w="5130" w:type="dxa"/>
          </w:tcPr>
          <w:p w:rsidR="00A7399A" w:rsidRDefault="00A7399A" w:rsidP="005862CD">
            <w:pPr>
              <w:widowControl w:val="0"/>
              <w:autoSpaceDE w:val="0"/>
              <w:autoSpaceDN w:val="0"/>
              <w:adjustRightInd w:val="0"/>
            </w:pPr>
            <w:r>
              <w:t>Work completed but unbilled (other entities).</w:t>
            </w:r>
          </w:p>
        </w:tc>
        <w:tc>
          <w:tcPr>
            <w:tcW w:w="1548" w:type="dxa"/>
          </w:tcPr>
          <w:p w:rsidR="00A7399A" w:rsidRDefault="00A7399A" w:rsidP="00117ADB">
            <w:pPr>
              <w:widowControl w:val="0"/>
              <w:autoSpaceDE w:val="0"/>
              <w:autoSpaceDN w:val="0"/>
              <w:adjustRightInd w:val="0"/>
              <w:ind w:left="-434" w:right="-469"/>
              <w:jc w:val="center"/>
            </w:pPr>
            <w:r>
              <w:t>10%</w:t>
            </w:r>
          </w:p>
        </w:tc>
      </w:tr>
      <w:tr w:rsidR="00A7399A" w:rsidTr="00A7399A">
        <w:tblPrEx>
          <w:tblCellMar>
            <w:top w:w="0" w:type="dxa"/>
            <w:bottom w:w="0" w:type="dxa"/>
          </w:tblCellMar>
        </w:tblPrEx>
        <w:trPr>
          <w:trHeight w:val="486"/>
        </w:trPr>
        <w:tc>
          <w:tcPr>
            <w:tcW w:w="738" w:type="dxa"/>
          </w:tcPr>
          <w:p w:rsidR="00A7399A" w:rsidRDefault="00A7399A" w:rsidP="00117ADB">
            <w:pPr>
              <w:widowControl w:val="0"/>
              <w:autoSpaceDE w:val="0"/>
              <w:autoSpaceDN w:val="0"/>
              <w:adjustRightInd w:val="0"/>
            </w:pPr>
            <w:r>
              <w:t>E)</w:t>
            </w:r>
          </w:p>
        </w:tc>
        <w:tc>
          <w:tcPr>
            <w:tcW w:w="5130" w:type="dxa"/>
          </w:tcPr>
          <w:p w:rsidR="00A7399A" w:rsidRDefault="00A7399A" w:rsidP="005862CD">
            <w:pPr>
              <w:widowControl w:val="0"/>
              <w:autoSpaceDE w:val="0"/>
              <w:autoSpaceDN w:val="0"/>
              <w:adjustRightInd w:val="0"/>
            </w:pPr>
            <w:r>
              <w:t>Over one year old (other entities).</w:t>
            </w:r>
          </w:p>
        </w:tc>
        <w:tc>
          <w:tcPr>
            <w:tcW w:w="1548" w:type="dxa"/>
          </w:tcPr>
          <w:p w:rsidR="00A7399A" w:rsidRDefault="00A7399A" w:rsidP="00117ADB">
            <w:pPr>
              <w:widowControl w:val="0"/>
              <w:autoSpaceDE w:val="0"/>
              <w:autoSpaceDN w:val="0"/>
              <w:adjustRightInd w:val="0"/>
              <w:ind w:left="-434" w:right="-469"/>
              <w:jc w:val="center"/>
            </w:pPr>
            <w:r>
              <w:t>100%</w:t>
            </w:r>
          </w:p>
        </w:tc>
      </w:tr>
    </w:tbl>
    <w:p w:rsidR="00A7399A" w:rsidRDefault="00A7399A"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5)</w:t>
      </w:r>
      <w:r>
        <w:tab/>
        <w:t xml:space="preserve">Schedule E </w:t>
      </w:r>
      <w:r w:rsidR="001061AC">
        <w:t xml:space="preserve">– </w:t>
      </w:r>
      <w:r>
        <w:t xml:space="preserve">Other Accounts Receivable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Any other accou</w:t>
      </w:r>
      <w:r w:rsidR="001061AC">
        <w:t xml:space="preserve">nt receivable, such as claims </w:t>
      </w:r>
      <w:r>
        <w:t xml:space="preserve">for tax refunds, will be carefully considered to determine whether it constitutes an authentic receivable and is collectible within one year. </w:t>
      </w:r>
    </w:p>
    <w:p w:rsidR="004F20E8" w:rsidRDefault="004F20E8" w:rsidP="00295122">
      <w:pPr>
        <w:widowControl w:val="0"/>
        <w:autoSpaceDE w:val="0"/>
        <w:autoSpaceDN w:val="0"/>
        <w:adjustRightInd w:val="0"/>
        <w:ind w:left="2880" w:hanging="720"/>
      </w:pPr>
    </w:p>
    <w:p w:rsidR="00295122" w:rsidRDefault="001061AC" w:rsidP="00295122">
      <w:pPr>
        <w:widowControl w:val="0"/>
        <w:autoSpaceDE w:val="0"/>
        <w:autoSpaceDN w:val="0"/>
        <w:adjustRightInd w:val="0"/>
        <w:ind w:left="2880" w:hanging="720"/>
      </w:pPr>
      <w:r>
        <w:lastRenderedPageBreak/>
        <w:t>B)</w:t>
      </w:r>
      <w:r>
        <w:tab/>
      </w:r>
      <w:r w:rsidR="00295122">
        <w:t xml:space="preserve">Other accounts receivable shall be evaluated as follows: </w:t>
      </w:r>
    </w:p>
    <w:p w:rsidR="00295122" w:rsidRDefault="00295122" w:rsidP="00295122">
      <w:pPr>
        <w:widowControl w:val="0"/>
        <w:autoSpaceDE w:val="0"/>
        <w:autoSpaceDN w:val="0"/>
        <w:adjustRightInd w:val="0"/>
        <w:ind w:left="2880" w:hanging="720"/>
      </w:pPr>
    </w:p>
    <w:tbl>
      <w:tblPr>
        <w:tblW w:w="6435" w:type="dxa"/>
        <w:tblInd w:w="2907" w:type="dxa"/>
        <w:tblLook w:val="0000" w:firstRow="0" w:lastRow="0" w:firstColumn="0" w:lastColumn="0" w:noHBand="0" w:noVBand="0"/>
      </w:tblPr>
      <w:tblGrid>
        <w:gridCol w:w="738"/>
        <w:gridCol w:w="4101"/>
        <w:gridCol w:w="1596"/>
      </w:tblGrid>
      <w:tr w:rsidR="00A7399A" w:rsidTr="00117ADB">
        <w:tblPrEx>
          <w:tblCellMar>
            <w:top w:w="0" w:type="dxa"/>
            <w:bottom w:w="0" w:type="dxa"/>
          </w:tblCellMar>
        </w:tblPrEx>
        <w:trPr>
          <w:trHeight w:val="405"/>
        </w:trPr>
        <w:tc>
          <w:tcPr>
            <w:tcW w:w="738" w:type="dxa"/>
          </w:tcPr>
          <w:p w:rsidR="00A7399A" w:rsidRDefault="00A7399A" w:rsidP="00117ADB">
            <w:pPr>
              <w:widowControl w:val="0"/>
              <w:autoSpaceDE w:val="0"/>
              <w:autoSpaceDN w:val="0"/>
              <w:adjustRightInd w:val="0"/>
            </w:pPr>
          </w:p>
        </w:tc>
        <w:tc>
          <w:tcPr>
            <w:tcW w:w="4101" w:type="dxa"/>
          </w:tcPr>
          <w:p w:rsidR="00A7399A" w:rsidRDefault="00A7399A" w:rsidP="005862CD">
            <w:pPr>
              <w:widowControl w:val="0"/>
              <w:autoSpaceDE w:val="0"/>
              <w:autoSpaceDN w:val="0"/>
              <w:adjustRightInd w:val="0"/>
            </w:pPr>
          </w:p>
        </w:tc>
        <w:tc>
          <w:tcPr>
            <w:tcW w:w="1596" w:type="dxa"/>
          </w:tcPr>
          <w:p w:rsidR="00A7399A" w:rsidRDefault="00A7399A" w:rsidP="00144AF5">
            <w:pPr>
              <w:widowControl w:val="0"/>
              <w:autoSpaceDE w:val="0"/>
              <w:autoSpaceDN w:val="0"/>
              <w:adjustRightInd w:val="0"/>
              <w:jc w:val="center"/>
            </w:pPr>
            <w:r>
              <w:t>Discount</w:t>
            </w:r>
          </w:p>
        </w:tc>
      </w:tr>
      <w:tr w:rsidR="00A7399A" w:rsidTr="00117ADB">
        <w:tblPrEx>
          <w:tblCellMar>
            <w:top w:w="0" w:type="dxa"/>
            <w:bottom w:w="0" w:type="dxa"/>
          </w:tblCellMar>
        </w:tblPrEx>
        <w:trPr>
          <w:trHeight w:val="765"/>
        </w:trPr>
        <w:tc>
          <w:tcPr>
            <w:tcW w:w="738" w:type="dxa"/>
          </w:tcPr>
          <w:p w:rsidR="00A7399A" w:rsidRDefault="00A7399A" w:rsidP="00117ADB">
            <w:pPr>
              <w:widowControl w:val="0"/>
              <w:autoSpaceDE w:val="0"/>
              <w:autoSpaceDN w:val="0"/>
              <w:adjustRightInd w:val="0"/>
            </w:pPr>
            <w:r>
              <w:t>i)</w:t>
            </w:r>
          </w:p>
        </w:tc>
        <w:tc>
          <w:tcPr>
            <w:tcW w:w="4101" w:type="dxa"/>
          </w:tcPr>
          <w:p w:rsidR="00A7399A" w:rsidRDefault="00A7399A" w:rsidP="005862CD">
            <w:pPr>
              <w:widowControl w:val="0"/>
              <w:autoSpaceDE w:val="0"/>
              <w:autoSpaceDN w:val="0"/>
              <w:adjustRightInd w:val="0"/>
            </w:pPr>
            <w:r>
              <w:t>Accounts receivable offset by accounts payable.</w:t>
            </w:r>
          </w:p>
        </w:tc>
        <w:tc>
          <w:tcPr>
            <w:tcW w:w="1596" w:type="dxa"/>
          </w:tcPr>
          <w:p w:rsidR="00A7399A" w:rsidRDefault="00A7399A" w:rsidP="00144AF5">
            <w:pPr>
              <w:widowControl w:val="0"/>
              <w:autoSpaceDE w:val="0"/>
              <w:autoSpaceDN w:val="0"/>
              <w:adjustRightInd w:val="0"/>
              <w:jc w:val="center"/>
            </w:pPr>
            <w:r>
              <w:t>0%</w:t>
            </w:r>
          </w:p>
        </w:tc>
      </w:tr>
      <w:tr w:rsidR="00A7399A" w:rsidTr="00117ADB">
        <w:tblPrEx>
          <w:tblCellMar>
            <w:top w:w="0" w:type="dxa"/>
            <w:bottom w:w="0" w:type="dxa"/>
          </w:tblCellMar>
        </w:tblPrEx>
        <w:trPr>
          <w:trHeight w:val="495"/>
        </w:trPr>
        <w:tc>
          <w:tcPr>
            <w:tcW w:w="738" w:type="dxa"/>
          </w:tcPr>
          <w:p w:rsidR="00A7399A" w:rsidRDefault="00A7399A" w:rsidP="00117ADB">
            <w:pPr>
              <w:widowControl w:val="0"/>
              <w:autoSpaceDE w:val="0"/>
              <w:autoSpaceDN w:val="0"/>
              <w:adjustRightInd w:val="0"/>
            </w:pPr>
            <w:r>
              <w:t>ii)</w:t>
            </w:r>
          </w:p>
        </w:tc>
        <w:tc>
          <w:tcPr>
            <w:tcW w:w="4101" w:type="dxa"/>
          </w:tcPr>
          <w:p w:rsidR="00A7399A" w:rsidRDefault="00A7399A" w:rsidP="005862CD">
            <w:pPr>
              <w:widowControl w:val="0"/>
              <w:autoSpaceDE w:val="0"/>
              <w:autoSpaceDN w:val="0"/>
              <w:adjustRightInd w:val="0"/>
            </w:pPr>
            <w:r>
              <w:t>Income tax refunds.</w:t>
            </w:r>
          </w:p>
        </w:tc>
        <w:tc>
          <w:tcPr>
            <w:tcW w:w="1596" w:type="dxa"/>
          </w:tcPr>
          <w:p w:rsidR="00A7399A" w:rsidRDefault="00A7399A" w:rsidP="00144AF5">
            <w:pPr>
              <w:widowControl w:val="0"/>
              <w:autoSpaceDE w:val="0"/>
              <w:autoSpaceDN w:val="0"/>
              <w:adjustRightInd w:val="0"/>
              <w:jc w:val="center"/>
            </w:pPr>
            <w:r>
              <w:t>0%</w:t>
            </w:r>
          </w:p>
        </w:tc>
      </w:tr>
      <w:tr w:rsidR="00A7399A" w:rsidTr="00117ADB">
        <w:tblPrEx>
          <w:tblCellMar>
            <w:top w:w="0" w:type="dxa"/>
            <w:bottom w:w="0" w:type="dxa"/>
          </w:tblCellMar>
        </w:tblPrEx>
        <w:trPr>
          <w:trHeight w:val="477"/>
        </w:trPr>
        <w:tc>
          <w:tcPr>
            <w:tcW w:w="738" w:type="dxa"/>
          </w:tcPr>
          <w:p w:rsidR="00A7399A" w:rsidRDefault="00A7399A" w:rsidP="00117ADB">
            <w:pPr>
              <w:widowControl w:val="0"/>
              <w:autoSpaceDE w:val="0"/>
              <w:autoSpaceDN w:val="0"/>
              <w:adjustRightInd w:val="0"/>
            </w:pPr>
            <w:r>
              <w:t>iii)</w:t>
            </w:r>
          </w:p>
        </w:tc>
        <w:tc>
          <w:tcPr>
            <w:tcW w:w="4101" w:type="dxa"/>
          </w:tcPr>
          <w:p w:rsidR="00A7399A" w:rsidRDefault="00A7399A" w:rsidP="005862CD">
            <w:pPr>
              <w:widowControl w:val="0"/>
              <w:autoSpaceDE w:val="0"/>
              <w:autoSpaceDN w:val="0"/>
              <w:adjustRightInd w:val="0"/>
            </w:pPr>
            <w:proofErr w:type="spellStart"/>
            <w:r>
              <w:t>Judgements</w:t>
            </w:r>
            <w:proofErr w:type="spellEnd"/>
            <w:r>
              <w:t xml:space="preserve"> and insurance claims receivable.</w:t>
            </w:r>
          </w:p>
        </w:tc>
        <w:tc>
          <w:tcPr>
            <w:tcW w:w="1596" w:type="dxa"/>
          </w:tcPr>
          <w:p w:rsidR="00A7399A" w:rsidRDefault="00A7399A" w:rsidP="00144AF5">
            <w:pPr>
              <w:widowControl w:val="0"/>
              <w:autoSpaceDE w:val="0"/>
              <w:autoSpaceDN w:val="0"/>
              <w:adjustRightInd w:val="0"/>
              <w:jc w:val="center"/>
            </w:pPr>
            <w:r>
              <w:t>100%</w:t>
            </w:r>
          </w:p>
        </w:tc>
      </w:tr>
      <w:tr w:rsidR="00A7399A" w:rsidTr="00117ADB">
        <w:tblPrEx>
          <w:tblCellMar>
            <w:top w:w="0" w:type="dxa"/>
            <w:bottom w:w="0" w:type="dxa"/>
          </w:tblCellMar>
        </w:tblPrEx>
        <w:trPr>
          <w:trHeight w:val="486"/>
        </w:trPr>
        <w:tc>
          <w:tcPr>
            <w:tcW w:w="738" w:type="dxa"/>
          </w:tcPr>
          <w:p w:rsidR="00A7399A" w:rsidRDefault="00A7399A" w:rsidP="00117ADB">
            <w:pPr>
              <w:widowControl w:val="0"/>
              <w:autoSpaceDE w:val="0"/>
              <w:autoSpaceDN w:val="0"/>
              <w:adjustRightInd w:val="0"/>
            </w:pPr>
            <w:r>
              <w:t>iv)</w:t>
            </w:r>
          </w:p>
        </w:tc>
        <w:tc>
          <w:tcPr>
            <w:tcW w:w="4101" w:type="dxa"/>
          </w:tcPr>
          <w:p w:rsidR="00A7399A" w:rsidRDefault="00117ADB" w:rsidP="005862CD">
            <w:pPr>
              <w:widowControl w:val="0"/>
              <w:autoSpaceDE w:val="0"/>
              <w:autoSpaceDN w:val="0"/>
              <w:adjustRightInd w:val="0"/>
            </w:pPr>
            <w:r>
              <w:t>Accounts receivable over one year old.</w:t>
            </w:r>
          </w:p>
        </w:tc>
        <w:tc>
          <w:tcPr>
            <w:tcW w:w="1596" w:type="dxa"/>
          </w:tcPr>
          <w:p w:rsidR="00A7399A" w:rsidRDefault="00A7399A" w:rsidP="00144AF5">
            <w:pPr>
              <w:widowControl w:val="0"/>
              <w:autoSpaceDE w:val="0"/>
              <w:autoSpaceDN w:val="0"/>
              <w:adjustRightInd w:val="0"/>
              <w:jc w:val="center"/>
            </w:pPr>
            <w:r>
              <w:t>10</w:t>
            </w:r>
            <w:r w:rsidR="00117ADB">
              <w:t>0</w:t>
            </w:r>
            <w:r>
              <w:t>%</w:t>
            </w:r>
          </w:p>
        </w:tc>
      </w:tr>
      <w:tr w:rsidR="00A7399A" w:rsidTr="00117ADB">
        <w:tblPrEx>
          <w:tblCellMar>
            <w:top w:w="0" w:type="dxa"/>
            <w:bottom w:w="0" w:type="dxa"/>
          </w:tblCellMar>
        </w:tblPrEx>
        <w:trPr>
          <w:trHeight w:val="783"/>
        </w:trPr>
        <w:tc>
          <w:tcPr>
            <w:tcW w:w="738" w:type="dxa"/>
          </w:tcPr>
          <w:p w:rsidR="00A7399A" w:rsidRDefault="00A7399A" w:rsidP="00117ADB">
            <w:pPr>
              <w:widowControl w:val="0"/>
              <w:autoSpaceDE w:val="0"/>
              <w:autoSpaceDN w:val="0"/>
              <w:adjustRightInd w:val="0"/>
            </w:pPr>
            <w:r>
              <w:t>v)</w:t>
            </w:r>
          </w:p>
        </w:tc>
        <w:tc>
          <w:tcPr>
            <w:tcW w:w="4101" w:type="dxa"/>
          </w:tcPr>
          <w:p w:rsidR="00A7399A" w:rsidRDefault="00117ADB" w:rsidP="005862CD">
            <w:pPr>
              <w:widowControl w:val="0"/>
              <w:autoSpaceDE w:val="0"/>
              <w:autoSpaceDN w:val="0"/>
              <w:adjustRightInd w:val="0"/>
            </w:pPr>
            <w:r>
              <w:t>Accounts receivable from stockholders, officers, directors and employees.</w:t>
            </w:r>
          </w:p>
        </w:tc>
        <w:tc>
          <w:tcPr>
            <w:tcW w:w="1596" w:type="dxa"/>
          </w:tcPr>
          <w:p w:rsidR="00A7399A" w:rsidRDefault="00A7399A" w:rsidP="00144AF5">
            <w:pPr>
              <w:widowControl w:val="0"/>
              <w:autoSpaceDE w:val="0"/>
              <w:autoSpaceDN w:val="0"/>
              <w:adjustRightInd w:val="0"/>
              <w:jc w:val="center"/>
            </w:pPr>
            <w:r>
              <w:t>100%</w:t>
            </w:r>
          </w:p>
        </w:tc>
      </w:tr>
      <w:tr w:rsidR="00117ADB" w:rsidTr="00117ADB">
        <w:tblPrEx>
          <w:tblCellMar>
            <w:top w:w="0" w:type="dxa"/>
            <w:bottom w:w="0" w:type="dxa"/>
          </w:tblCellMar>
        </w:tblPrEx>
        <w:trPr>
          <w:trHeight w:val="1332"/>
        </w:trPr>
        <w:tc>
          <w:tcPr>
            <w:tcW w:w="738" w:type="dxa"/>
          </w:tcPr>
          <w:p w:rsidR="00117ADB" w:rsidRDefault="00117ADB" w:rsidP="00117ADB">
            <w:pPr>
              <w:widowControl w:val="0"/>
              <w:autoSpaceDE w:val="0"/>
              <w:autoSpaceDN w:val="0"/>
              <w:adjustRightInd w:val="0"/>
            </w:pPr>
            <w:r>
              <w:t>vi)</w:t>
            </w:r>
          </w:p>
        </w:tc>
        <w:tc>
          <w:tcPr>
            <w:tcW w:w="4101" w:type="dxa"/>
          </w:tcPr>
          <w:p w:rsidR="00117ADB" w:rsidRDefault="00117ADB" w:rsidP="005862CD">
            <w:pPr>
              <w:widowControl w:val="0"/>
              <w:autoSpaceDE w:val="0"/>
              <w:autoSpaceDN w:val="0"/>
              <w:adjustRightInd w:val="0"/>
            </w:pPr>
            <w:r>
              <w:t>Accounts receivable from parent, subsidiaries and affiliates. (See the exception to this discount in subsection (a)(5)(B)(vii) of this Section.)</w:t>
            </w:r>
          </w:p>
        </w:tc>
        <w:tc>
          <w:tcPr>
            <w:tcW w:w="1596" w:type="dxa"/>
          </w:tcPr>
          <w:p w:rsidR="00117ADB" w:rsidRDefault="00117ADB" w:rsidP="00144AF5">
            <w:pPr>
              <w:widowControl w:val="0"/>
              <w:autoSpaceDE w:val="0"/>
              <w:autoSpaceDN w:val="0"/>
              <w:adjustRightInd w:val="0"/>
              <w:jc w:val="center"/>
            </w:pPr>
            <w:r>
              <w:t>100%</w:t>
            </w:r>
          </w:p>
        </w:tc>
      </w:tr>
      <w:tr w:rsidR="00117ADB" w:rsidTr="00117ADB">
        <w:tblPrEx>
          <w:tblCellMar>
            <w:top w:w="0" w:type="dxa"/>
            <w:bottom w:w="0" w:type="dxa"/>
          </w:tblCellMar>
        </w:tblPrEx>
        <w:trPr>
          <w:trHeight w:val="486"/>
        </w:trPr>
        <w:tc>
          <w:tcPr>
            <w:tcW w:w="738" w:type="dxa"/>
          </w:tcPr>
          <w:p w:rsidR="00117ADB" w:rsidRDefault="00117ADB" w:rsidP="00117ADB">
            <w:pPr>
              <w:widowControl w:val="0"/>
              <w:autoSpaceDE w:val="0"/>
              <w:autoSpaceDN w:val="0"/>
              <w:adjustRightInd w:val="0"/>
            </w:pPr>
            <w:r>
              <w:t>vii)</w:t>
            </w:r>
          </w:p>
        </w:tc>
        <w:tc>
          <w:tcPr>
            <w:tcW w:w="4101" w:type="dxa"/>
          </w:tcPr>
          <w:p w:rsidR="00117ADB" w:rsidRDefault="00117ADB" w:rsidP="005862CD">
            <w:pPr>
              <w:widowControl w:val="0"/>
              <w:autoSpaceDE w:val="0"/>
              <w:autoSpaceDN w:val="0"/>
              <w:adjustRightInd w:val="0"/>
              <w:ind w:left="9"/>
            </w:pPr>
            <w:r>
              <w:t>Accounts receivable from prequalified parent subsidiaries and affiliates whose financial statement date corresponds to the prequalifying company and whose financial statement of the same date shows a corresponding accounts payable.</w:t>
            </w:r>
          </w:p>
        </w:tc>
        <w:tc>
          <w:tcPr>
            <w:tcW w:w="1596" w:type="dxa"/>
          </w:tcPr>
          <w:p w:rsidR="00117ADB" w:rsidRDefault="00117ADB" w:rsidP="00144AF5">
            <w:pPr>
              <w:widowControl w:val="0"/>
              <w:autoSpaceDE w:val="0"/>
              <w:autoSpaceDN w:val="0"/>
              <w:adjustRightInd w:val="0"/>
              <w:jc w:val="center"/>
            </w:pPr>
            <w:r>
              <w:t>0%</w:t>
            </w:r>
          </w:p>
        </w:tc>
      </w:tr>
    </w:tbl>
    <w:p w:rsidR="00A7399A" w:rsidRDefault="00A7399A"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C)</w:t>
      </w:r>
      <w:r>
        <w:tab/>
        <w:t xml:space="preserve">Total discounts for accounts receivable will be offset by any allowance established for bad debt except in cases </w:t>
      </w:r>
      <w:r w:rsidR="003B3522">
        <w:t>that</w:t>
      </w:r>
      <w:r>
        <w:t xml:space="preserve"> involve 100% discounts.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D)</w:t>
      </w:r>
      <w:r>
        <w:tab/>
        <w:t xml:space="preserve">In determining whether the status of a receivable is current, reference will be made to the previous statements submitted by the applicant.  The appearance of an item on two or more successive statements indicates that the receivable is not current and perhaps uncollectible.  Therefore, the receivable will be considered noncurrent. </w:t>
      </w:r>
    </w:p>
    <w:p w:rsidR="004F20E8" w:rsidRDefault="004F20E8"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6)</w:t>
      </w:r>
      <w:r>
        <w:tab/>
        <w:t xml:space="preserve">Schedule F </w:t>
      </w:r>
      <w:r w:rsidR="002E4ABF">
        <w:t xml:space="preserve">– </w:t>
      </w:r>
      <w:r>
        <w:t xml:space="preserve">Stocks and Bonds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 xml:space="preserve">In listing stocks, bonds, investments, etc., in Schedule F, the accountant shall show as separate items the applicant's investments in other contracting firms.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B)</w:t>
      </w:r>
      <w:r>
        <w:tab/>
        <w:t xml:space="preserve">Stocks, bonds and other investments are evaluated and classified as follows: </w:t>
      </w:r>
    </w:p>
    <w:p w:rsidR="00295122" w:rsidRDefault="00295122" w:rsidP="00295122">
      <w:pPr>
        <w:widowControl w:val="0"/>
        <w:autoSpaceDE w:val="0"/>
        <w:autoSpaceDN w:val="0"/>
        <w:adjustRightInd w:val="0"/>
        <w:ind w:left="2880" w:hanging="720"/>
      </w:pPr>
    </w:p>
    <w:tbl>
      <w:tblPr>
        <w:tblW w:w="6435" w:type="dxa"/>
        <w:tblInd w:w="2907" w:type="dxa"/>
        <w:tblLook w:val="0000" w:firstRow="0" w:lastRow="0" w:firstColumn="0" w:lastColumn="0" w:noHBand="0" w:noVBand="0"/>
      </w:tblPr>
      <w:tblGrid>
        <w:gridCol w:w="738"/>
        <w:gridCol w:w="4101"/>
        <w:gridCol w:w="1596"/>
      </w:tblGrid>
      <w:tr w:rsidR="00117ADB" w:rsidTr="00117ADB">
        <w:tblPrEx>
          <w:tblCellMar>
            <w:top w:w="0" w:type="dxa"/>
            <w:bottom w:w="0" w:type="dxa"/>
          </w:tblCellMar>
        </w:tblPrEx>
        <w:trPr>
          <w:trHeight w:val="405"/>
        </w:trPr>
        <w:tc>
          <w:tcPr>
            <w:tcW w:w="738" w:type="dxa"/>
          </w:tcPr>
          <w:p w:rsidR="00117ADB" w:rsidRDefault="00117ADB" w:rsidP="00117ADB">
            <w:pPr>
              <w:widowControl w:val="0"/>
              <w:autoSpaceDE w:val="0"/>
              <w:autoSpaceDN w:val="0"/>
              <w:adjustRightInd w:val="0"/>
            </w:pPr>
          </w:p>
        </w:tc>
        <w:tc>
          <w:tcPr>
            <w:tcW w:w="4101" w:type="dxa"/>
          </w:tcPr>
          <w:p w:rsidR="00117ADB" w:rsidRDefault="00117ADB" w:rsidP="005862CD">
            <w:pPr>
              <w:widowControl w:val="0"/>
              <w:autoSpaceDE w:val="0"/>
              <w:autoSpaceDN w:val="0"/>
              <w:adjustRightInd w:val="0"/>
            </w:pPr>
          </w:p>
        </w:tc>
        <w:tc>
          <w:tcPr>
            <w:tcW w:w="1596" w:type="dxa"/>
          </w:tcPr>
          <w:p w:rsidR="00117ADB" w:rsidRDefault="00117ADB" w:rsidP="00117ADB">
            <w:pPr>
              <w:widowControl w:val="0"/>
              <w:autoSpaceDE w:val="0"/>
              <w:autoSpaceDN w:val="0"/>
              <w:adjustRightInd w:val="0"/>
              <w:jc w:val="center"/>
            </w:pPr>
            <w:r>
              <w:t>Discount</w:t>
            </w:r>
          </w:p>
        </w:tc>
      </w:tr>
      <w:tr w:rsidR="00117ADB" w:rsidTr="00117ADB">
        <w:tblPrEx>
          <w:tblCellMar>
            <w:top w:w="0" w:type="dxa"/>
            <w:bottom w:w="0" w:type="dxa"/>
          </w:tblCellMar>
        </w:tblPrEx>
        <w:trPr>
          <w:trHeight w:val="765"/>
        </w:trPr>
        <w:tc>
          <w:tcPr>
            <w:tcW w:w="738" w:type="dxa"/>
          </w:tcPr>
          <w:p w:rsidR="00117ADB" w:rsidRDefault="00117ADB" w:rsidP="00117ADB">
            <w:pPr>
              <w:widowControl w:val="0"/>
              <w:autoSpaceDE w:val="0"/>
              <w:autoSpaceDN w:val="0"/>
              <w:adjustRightInd w:val="0"/>
            </w:pPr>
            <w:r>
              <w:t>i)</w:t>
            </w:r>
          </w:p>
        </w:tc>
        <w:tc>
          <w:tcPr>
            <w:tcW w:w="4101" w:type="dxa"/>
          </w:tcPr>
          <w:p w:rsidR="00117ADB" w:rsidRDefault="00117ADB" w:rsidP="005862CD">
            <w:pPr>
              <w:widowControl w:val="0"/>
              <w:autoSpaceDE w:val="0"/>
              <w:autoSpaceDN w:val="0"/>
              <w:adjustRightInd w:val="0"/>
            </w:pPr>
            <w:r>
              <w:t>Municipal, State and U.S. Bonds (cash surrender value)</w:t>
            </w:r>
          </w:p>
        </w:tc>
        <w:tc>
          <w:tcPr>
            <w:tcW w:w="1596" w:type="dxa"/>
          </w:tcPr>
          <w:p w:rsidR="00117ADB" w:rsidRDefault="00117ADB" w:rsidP="00117ADB">
            <w:pPr>
              <w:widowControl w:val="0"/>
              <w:autoSpaceDE w:val="0"/>
              <w:autoSpaceDN w:val="0"/>
              <w:adjustRightInd w:val="0"/>
              <w:jc w:val="center"/>
            </w:pPr>
            <w:r>
              <w:t>0%</w:t>
            </w:r>
          </w:p>
        </w:tc>
      </w:tr>
      <w:tr w:rsidR="00117ADB" w:rsidTr="00144AF5">
        <w:tblPrEx>
          <w:tblCellMar>
            <w:top w:w="0" w:type="dxa"/>
            <w:bottom w:w="0" w:type="dxa"/>
          </w:tblCellMar>
        </w:tblPrEx>
        <w:trPr>
          <w:trHeight w:val="792"/>
        </w:trPr>
        <w:tc>
          <w:tcPr>
            <w:tcW w:w="738" w:type="dxa"/>
          </w:tcPr>
          <w:p w:rsidR="00117ADB" w:rsidRDefault="00117ADB" w:rsidP="00117ADB">
            <w:pPr>
              <w:widowControl w:val="0"/>
              <w:autoSpaceDE w:val="0"/>
              <w:autoSpaceDN w:val="0"/>
              <w:adjustRightInd w:val="0"/>
            </w:pPr>
            <w:r>
              <w:t>ii)</w:t>
            </w:r>
          </w:p>
        </w:tc>
        <w:tc>
          <w:tcPr>
            <w:tcW w:w="4101" w:type="dxa"/>
          </w:tcPr>
          <w:p w:rsidR="00117ADB" w:rsidRDefault="00117ADB" w:rsidP="005862CD">
            <w:pPr>
              <w:widowControl w:val="0"/>
              <w:autoSpaceDE w:val="0"/>
              <w:autoSpaceDN w:val="0"/>
              <w:adjustRightInd w:val="0"/>
            </w:pPr>
            <w:r>
              <w:t>U.S. Treasury Bills (cash surrender value)</w:t>
            </w:r>
          </w:p>
        </w:tc>
        <w:tc>
          <w:tcPr>
            <w:tcW w:w="1596" w:type="dxa"/>
          </w:tcPr>
          <w:p w:rsidR="00117ADB" w:rsidRDefault="00117ADB" w:rsidP="00117ADB">
            <w:pPr>
              <w:widowControl w:val="0"/>
              <w:autoSpaceDE w:val="0"/>
              <w:autoSpaceDN w:val="0"/>
              <w:adjustRightInd w:val="0"/>
              <w:jc w:val="center"/>
            </w:pPr>
            <w:r>
              <w:t>0%</w:t>
            </w:r>
          </w:p>
        </w:tc>
      </w:tr>
      <w:tr w:rsidR="00117ADB" w:rsidTr="00144AF5">
        <w:tblPrEx>
          <w:tblCellMar>
            <w:top w:w="0" w:type="dxa"/>
            <w:bottom w:w="0" w:type="dxa"/>
          </w:tblCellMar>
        </w:tblPrEx>
        <w:trPr>
          <w:trHeight w:val="540"/>
        </w:trPr>
        <w:tc>
          <w:tcPr>
            <w:tcW w:w="738" w:type="dxa"/>
          </w:tcPr>
          <w:p w:rsidR="00117ADB" w:rsidRDefault="00117ADB" w:rsidP="00117ADB">
            <w:pPr>
              <w:widowControl w:val="0"/>
              <w:autoSpaceDE w:val="0"/>
              <w:autoSpaceDN w:val="0"/>
              <w:adjustRightInd w:val="0"/>
            </w:pPr>
            <w:r>
              <w:t>iii)</w:t>
            </w:r>
          </w:p>
        </w:tc>
        <w:tc>
          <w:tcPr>
            <w:tcW w:w="4101" w:type="dxa"/>
          </w:tcPr>
          <w:p w:rsidR="00117ADB" w:rsidRDefault="00117ADB" w:rsidP="005862CD">
            <w:pPr>
              <w:widowControl w:val="0"/>
              <w:autoSpaceDE w:val="0"/>
              <w:autoSpaceDN w:val="0"/>
              <w:adjustRightInd w:val="0"/>
            </w:pPr>
            <w:r>
              <w:t>Repurchase agreements</w:t>
            </w:r>
          </w:p>
        </w:tc>
        <w:tc>
          <w:tcPr>
            <w:tcW w:w="1596" w:type="dxa"/>
          </w:tcPr>
          <w:p w:rsidR="00117ADB" w:rsidRDefault="00117ADB" w:rsidP="00117ADB">
            <w:pPr>
              <w:widowControl w:val="0"/>
              <w:autoSpaceDE w:val="0"/>
              <w:autoSpaceDN w:val="0"/>
              <w:adjustRightInd w:val="0"/>
              <w:jc w:val="center"/>
            </w:pPr>
            <w:r>
              <w:t>0%</w:t>
            </w:r>
          </w:p>
        </w:tc>
      </w:tr>
      <w:tr w:rsidR="00117ADB" w:rsidTr="00144AF5">
        <w:tblPrEx>
          <w:tblCellMar>
            <w:top w:w="0" w:type="dxa"/>
            <w:bottom w:w="0" w:type="dxa"/>
          </w:tblCellMar>
        </w:tblPrEx>
        <w:trPr>
          <w:trHeight w:val="783"/>
        </w:trPr>
        <w:tc>
          <w:tcPr>
            <w:tcW w:w="738" w:type="dxa"/>
          </w:tcPr>
          <w:p w:rsidR="00117ADB" w:rsidRDefault="00117ADB" w:rsidP="00117ADB">
            <w:pPr>
              <w:widowControl w:val="0"/>
              <w:autoSpaceDE w:val="0"/>
              <w:autoSpaceDN w:val="0"/>
              <w:adjustRightInd w:val="0"/>
            </w:pPr>
            <w:r>
              <w:t>iv)</w:t>
            </w:r>
          </w:p>
        </w:tc>
        <w:tc>
          <w:tcPr>
            <w:tcW w:w="4101" w:type="dxa"/>
          </w:tcPr>
          <w:p w:rsidR="00117ADB" w:rsidRDefault="00117ADB" w:rsidP="005862CD">
            <w:pPr>
              <w:widowControl w:val="0"/>
              <w:autoSpaceDE w:val="0"/>
              <w:autoSpaceDN w:val="0"/>
              <w:adjustRightInd w:val="0"/>
            </w:pPr>
            <w:r>
              <w:t>Annuities and Individual Retirement Accounts</w:t>
            </w:r>
          </w:p>
        </w:tc>
        <w:tc>
          <w:tcPr>
            <w:tcW w:w="1596" w:type="dxa"/>
          </w:tcPr>
          <w:p w:rsidR="00117ADB" w:rsidRDefault="00117ADB" w:rsidP="00117ADB">
            <w:pPr>
              <w:widowControl w:val="0"/>
              <w:autoSpaceDE w:val="0"/>
              <w:autoSpaceDN w:val="0"/>
              <w:adjustRightInd w:val="0"/>
              <w:jc w:val="center"/>
            </w:pPr>
            <w:r>
              <w:t>10%</w:t>
            </w:r>
          </w:p>
        </w:tc>
      </w:tr>
      <w:tr w:rsidR="00117ADB" w:rsidTr="005862CD">
        <w:tblPrEx>
          <w:tblCellMar>
            <w:top w:w="0" w:type="dxa"/>
            <w:bottom w:w="0" w:type="dxa"/>
          </w:tblCellMar>
        </w:tblPrEx>
        <w:trPr>
          <w:trHeight w:val="1332"/>
        </w:trPr>
        <w:tc>
          <w:tcPr>
            <w:tcW w:w="738" w:type="dxa"/>
          </w:tcPr>
          <w:p w:rsidR="00117ADB" w:rsidRDefault="00117ADB" w:rsidP="00117ADB">
            <w:pPr>
              <w:widowControl w:val="0"/>
              <w:autoSpaceDE w:val="0"/>
              <w:autoSpaceDN w:val="0"/>
              <w:adjustRightInd w:val="0"/>
            </w:pPr>
            <w:r>
              <w:t>v)</w:t>
            </w:r>
          </w:p>
        </w:tc>
        <w:tc>
          <w:tcPr>
            <w:tcW w:w="4101" w:type="dxa"/>
          </w:tcPr>
          <w:p w:rsidR="00117ADB" w:rsidRDefault="005862CD" w:rsidP="005862CD">
            <w:pPr>
              <w:widowControl w:val="0"/>
              <w:autoSpaceDE w:val="0"/>
              <w:autoSpaceDN w:val="0"/>
              <w:adjustRightInd w:val="0"/>
            </w:pPr>
            <w:r>
              <w:t>Stocks, bonds and investments, including commercial paper</w:t>
            </w:r>
          </w:p>
          <w:p w:rsidR="005862CD" w:rsidRDefault="005862CD" w:rsidP="005862CD">
            <w:pPr>
              <w:widowControl w:val="0"/>
              <w:autoSpaceDE w:val="0"/>
              <w:autoSpaceDN w:val="0"/>
              <w:adjustRightInd w:val="0"/>
            </w:pPr>
            <w:r>
              <w:t>(book value shown on balance sheet)</w:t>
            </w:r>
          </w:p>
          <w:p w:rsidR="005862CD" w:rsidRDefault="005862CD" w:rsidP="005862CD">
            <w:pPr>
              <w:widowControl w:val="0"/>
              <w:autoSpaceDE w:val="0"/>
              <w:autoSpaceDN w:val="0"/>
              <w:adjustRightInd w:val="0"/>
            </w:pPr>
            <w:r>
              <w:t>(market value shown on balance sheet)</w:t>
            </w:r>
          </w:p>
        </w:tc>
        <w:tc>
          <w:tcPr>
            <w:tcW w:w="1596" w:type="dxa"/>
          </w:tcPr>
          <w:p w:rsidR="00117ADB" w:rsidRDefault="00117ADB" w:rsidP="00117ADB">
            <w:pPr>
              <w:widowControl w:val="0"/>
              <w:autoSpaceDE w:val="0"/>
              <w:autoSpaceDN w:val="0"/>
              <w:adjustRightInd w:val="0"/>
              <w:ind w:left="-434" w:right="-469"/>
              <w:jc w:val="center"/>
            </w:pPr>
          </w:p>
          <w:p w:rsidR="005862CD" w:rsidRDefault="005862CD" w:rsidP="00117ADB">
            <w:pPr>
              <w:widowControl w:val="0"/>
              <w:autoSpaceDE w:val="0"/>
              <w:autoSpaceDN w:val="0"/>
              <w:adjustRightInd w:val="0"/>
              <w:ind w:left="-434" w:right="-469"/>
              <w:jc w:val="center"/>
            </w:pPr>
          </w:p>
          <w:p w:rsidR="005862CD" w:rsidRDefault="005862CD" w:rsidP="00117ADB">
            <w:pPr>
              <w:widowControl w:val="0"/>
              <w:autoSpaceDE w:val="0"/>
              <w:autoSpaceDN w:val="0"/>
              <w:adjustRightInd w:val="0"/>
              <w:ind w:left="-434" w:right="-469"/>
              <w:jc w:val="center"/>
            </w:pPr>
            <w:r>
              <w:t>25%</w:t>
            </w:r>
          </w:p>
          <w:p w:rsidR="005862CD" w:rsidRDefault="005862CD" w:rsidP="00117ADB">
            <w:pPr>
              <w:widowControl w:val="0"/>
              <w:autoSpaceDE w:val="0"/>
              <w:autoSpaceDN w:val="0"/>
              <w:adjustRightInd w:val="0"/>
              <w:ind w:left="-434" w:right="-469"/>
              <w:jc w:val="center"/>
            </w:pPr>
            <w:r>
              <w:t>33⅓%</w:t>
            </w:r>
          </w:p>
        </w:tc>
      </w:tr>
      <w:tr w:rsidR="00117ADB" w:rsidTr="00144AF5">
        <w:tblPrEx>
          <w:tblCellMar>
            <w:top w:w="0" w:type="dxa"/>
            <w:bottom w:w="0" w:type="dxa"/>
          </w:tblCellMar>
        </w:tblPrEx>
        <w:trPr>
          <w:trHeight w:val="792"/>
        </w:trPr>
        <w:tc>
          <w:tcPr>
            <w:tcW w:w="738" w:type="dxa"/>
          </w:tcPr>
          <w:p w:rsidR="00117ADB" w:rsidRDefault="00117ADB" w:rsidP="00117ADB">
            <w:pPr>
              <w:widowControl w:val="0"/>
              <w:autoSpaceDE w:val="0"/>
              <w:autoSpaceDN w:val="0"/>
              <w:adjustRightInd w:val="0"/>
            </w:pPr>
            <w:r>
              <w:t>vi)</w:t>
            </w:r>
          </w:p>
        </w:tc>
        <w:tc>
          <w:tcPr>
            <w:tcW w:w="4101" w:type="dxa"/>
          </w:tcPr>
          <w:p w:rsidR="00117ADB" w:rsidRDefault="00117ADB" w:rsidP="005862CD">
            <w:pPr>
              <w:widowControl w:val="0"/>
              <w:autoSpaceDE w:val="0"/>
              <w:autoSpaceDN w:val="0"/>
              <w:adjustRightInd w:val="0"/>
            </w:pPr>
            <w:r>
              <w:t>Special Assessment vouchers – tax anticipation warrants</w:t>
            </w:r>
          </w:p>
        </w:tc>
        <w:tc>
          <w:tcPr>
            <w:tcW w:w="1596" w:type="dxa"/>
          </w:tcPr>
          <w:p w:rsidR="00117ADB" w:rsidRDefault="00117ADB" w:rsidP="00117ADB">
            <w:pPr>
              <w:widowControl w:val="0"/>
              <w:autoSpaceDE w:val="0"/>
              <w:autoSpaceDN w:val="0"/>
              <w:adjustRightInd w:val="0"/>
              <w:jc w:val="center"/>
            </w:pPr>
            <w:r>
              <w:t>25%</w:t>
            </w:r>
          </w:p>
        </w:tc>
      </w:tr>
      <w:tr w:rsidR="00117ADB" w:rsidTr="00144AF5">
        <w:tblPrEx>
          <w:tblCellMar>
            <w:top w:w="0" w:type="dxa"/>
            <w:bottom w:w="0" w:type="dxa"/>
          </w:tblCellMar>
        </w:tblPrEx>
        <w:trPr>
          <w:trHeight w:val="792"/>
        </w:trPr>
        <w:tc>
          <w:tcPr>
            <w:tcW w:w="738" w:type="dxa"/>
          </w:tcPr>
          <w:p w:rsidR="00117ADB" w:rsidRDefault="00117ADB" w:rsidP="00117ADB">
            <w:pPr>
              <w:widowControl w:val="0"/>
              <w:autoSpaceDE w:val="0"/>
              <w:autoSpaceDN w:val="0"/>
              <w:adjustRightInd w:val="0"/>
            </w:pPr>
            <w:r>
              <w:t>vii)</w:t>
            </w:r>
          </w:p>
        </w:tc>
        <w:tc>
          <w:tcPr>
            <w:tcW w:w="4101" w:type="dxa"/>
          </w:tcPr>
          <w:p w:rsidR="00117ADB" w:rsidRDefault="00117ADB" w:rsidP="005862CD">
            <w:pPr>
              <w:widowControl w:val="0"/>
              <w:autoSpaceDE w:val="0"/>
              <w:autoSpaceDN w:val="0"/>
              <w:adjustRightInd w:val="0"/>
            </w:pPr>
            <w:r>
              <w:t>Stocks of parent, subsidiaries, affiliates, etc., which are themselves prequalified</w:t>
            </w:r>
          </w:p>
        </w:tc>
        <w:tc>
          <w:tcPr>
            <w:tcW w:w="1596" w:type="dxa"/>
          </w:tcPr>
          <w:p w:rsidR="00117ADB" w:rsidRDefault="00117ADB" w:rsidP="00117ADB">
            <w:pPr>
              <w:widowControl w:val="0"/>
              <w:autoSpaceDE w:val="0"/>
              <w:autoSpaceDN w:val="0"/>
              <w:adjustRightInd w:val="0"/>
              <w:jc w:val="center"/>
            </w:pPr>
            <w:r>
              <w:t>100%</w:t>
            </w:r>
          </w:p>
        </w:tc>
      </w:tr>
      <w:tr w:rsidR="00144AF5" w:rsidTr="00144AF5">
        <w:tblPrEx>
          <w:tblCellMar>
            <w:top w:w="0" w:type="dxa"/>
            <w:bottom w:w="0" w:type="dxa"/>
          </w:tblCellMar>
        </w:tblPrEx>
        <w:trPr>
          <w:trHeight w:val="1080"/>
        </w:trPr>
        <w:tc>
          <w:tcPr>
            <w:tcW w:w="738" w:type="dxa"/>
          </w:tcPr>
          <w:p w:rsidR="00144AF5" w:rsidRDefault="00144AF5" w:rsidP="00117ADB">
            <w:pPr>
              <w:widowControl w:val="0"/>
              <w:autoSpaceDE w:val="0"/>
              <w:autoSpaceDN w:val="0"/>
              <w:adjustRightInd w:val="0"/>
            </w:pPr>
            <w:r>
              <w:t>viii)</w:t>
            </w:r>
          </w:p>
        </w:tc>
        <w:tc>
          <w:tcPr>
            <w:tcW w:w="4101" w:type="dxa"/>
          </w:tcPr>
          <w:p w:rsidR="00144AF5" w:rsidRDefault="00144AF5" w:rsidP="005862CD">
            <w:pPr>
              <w:widowControl w:val="0"/>
              <w:autoSpaceDE w:val="0"/>
              <w:autoSpaceDN w:val="0"/>
              <w:adjustRightInd w:val="0"/>
            </w:pPr>
            <w:r>
              <w:t>Nonmarketable equities – defined as equities not readily available for public sale</w:t>
            </w:r>
          </w:p>
        </w:tc>
        <w:tc>
          <w:tcPr>
            <w:tcW w:w="1596" w:type="dxa"/>
          </w:tcPr>
          <w:p w:rsidR="00144AF5" w:rsidRDefault="00144AF5" w:rsidP="00892758">
            <w:pPr>
              <w:widowControl w:val="0"/>
              <w:autoSpaceDE w:val="0"/>
              <w:autoSpaceDN w:val="0"/>
              <w:adjustRightInd w:val="0"/>
              <w:jc w:val="center"/>
            </w:pPr>
            <w:r>
              <w:t>100%</w:t>
            </w:r>
          </w:p>
        </w:tc>
      </w:tr>
      <w:tr w:rsidR="00144AF5" w:rsidTr="00144AF5">
        <w:tblPrEx>
          <w:tblCellMar>
            <w:top w:w="0" w:type="dxa"/>
            <w:bottom w:w="0" w:type="dxa"/>
          </w:tblCellMar>
        </w:tblPrEx>
        <w:trPr>
          <w:trHeight w:val="1026"/>
        </w:trPr>
        <w:tc>
          <w:tcPr>
            <w:tcW w:w="738" w:type="dxa"/>
          </w:tcPr>
          <w:p w:rsidR="00144AF5" w:rsidRDefault="00144AF5" w:rsidP="00117ADB">
            <w:pPr>
              <w:widowControl w:val="0"/>
              <w:autoSpaceDE w:val="0"/>
              <w:autoSpaceDN w:val="0"/>
              <w:adjustRightInd w:val="0"/>
            </w:pPr>
            <w:r>
              <w:t>ix)</w:t>
            </w:r>
          </w:p>
        </w:tc>
        <w:tc>
          <w:tcPr>
            <w:tcW w:w="4101" w:type="dxa"/>
          </w:tcPr>
          <w:p w:rsidR="00144AF5" w:rsidRDefault="00144AF5" w:rsidP="005862CD">
            <w:pPr>
              <w:widowControl w:val="0"/>
              <w:autoSpaceDE w:val="0"/>
              <w:autoSpaceDN w:val="0"/>
              <w:adjustRightInd w:val="0"/>
            </w:pPr>
            <w:r>
              <w:t>Stock in civic organizations or social clubs (i.e., country club, co-op stock, etc.)</w:t>
            </w:r>
          </w:p>
        </w:tc>
        <w:tc>
          <w:tcPr>
            <w:tcW w:w="1596" w:type="dxa"/>
          </w:tcPr>
          <w:p w:rsidR="00144AF5" w:rsidRDefault="00144AF5" w:rsidP="00892758">
            <w:pPr>
              <w:widowControl w:val="0"/>
              <w:autoSpaceDE w:val="0"/>
              <w:autoSpaceDN w:val="0"/>
              <w:adjustRightInd w:val="0"/>
              <w:jc w:val="center"/>
            </w:pPr>
            <w:r>
              <w:t>100%</w:t>
            </w:r>
          </w:p>
        </w:tc>
      </w:tr>
      <w:tr w:rsidR="00144AF5" w:rsidTr="00117ADB">
        <w:tblPrEx>
          <w:tblCellMar>
            <w:top w:w="0" w:type="dxa"/>
            <w:bottom w:w="0" w:type="dxa"/>
          </w:tblCellMar>
        </w:tblPrEx>
        <w:trPr>
          <w:trHeight w:val="486"/>
        </w:trPr>
        <w:tc>
          <w:tcPr>
            <w:tcW w:w="738" w:type="dxa"/>
          </w:tcPr>
          <w:p w:rsidR="00144AF5" w:rsidRDefault="00144AF5" w:rsidP="00117ADB">
            <w:pPr>
              <w:widowControl w:val="0"/>
              <w:autoSpaceDE w:val="0"/>
              <w:autoSpaceDN w:val="0"/>
              <w:adjustRightInd w:val="0"/>
            </w:pPr>
            <w:r>
              <w:t>x)</w:t>
            </w:r>
          </w:p>
        </w:tc>
        <w:tc>
          <w:tcPr>
            <w:tcW w:w="4101" w:type="dxa"/>
          </w:tcPr>
          <w:p w:rsidR="00144AF5" w:rsidRDefault="00144AF5" w:rsidP="005862CD">
            <w:pPr>
              <w:widowControl w:val="0"/>
              <w:autoSpaceDE w:val="0"/>
              <w:autoSpaceDN w:val="0"/>
              <w:adjustRightInd w:val="0"/>
            </w:pPr>
            <w:r>
              <w:t>Artwork and collections</w:t>
            </w:r>
          </w:p>
        </w:tc>
        <w:tc>
          <w:tcPr>
            <w:tcW w:w="1596" w:type="dxa"/>
          </w:tcPr>
          <w:p w:rsidR="00144AF5" w:rsidRDefault="00144AF5" w:rsidP="00892758">
            <w:pPr>
              <w:widowControl w:val="0"/>
              <w:autoSpaceDE w:val="0"/>
              <w:autoSpaceDN w:val="0"/>
              <w:adjustRightInd w:val="0"/>
              <w:jc w:val="center"/>
            </w:pPr>
            <w:r>
              <w:t>100%</w:t>
            </w:r>
          </w:p>
        </w:tc>
      </w:tr>
      <w:tr w:rsidR="00144AF5" w:rsidTr="00117ADB">
        <w:tblPrEx>
          <w:tblCellMar>
            <w:top w:w="0" w:type="dxa"/>
            <w:bottom w:w="0" w:type="dxa"/>
          </w:tblCellMar>
        </w:tblPrEx>
        <w:trPr>
          <w:trHeight w:val="486"/>
        </w:trPr>
        <w:tc>
          <w:tcPr>
            <w:tcW w:w="738" w:type="dxa"/>
          </w:tcPr>
          <w:p w:rsidR="00144AF5" w:rsidRDefault="00144AF5" w:rsidP="00117ADB">
            <w:pPr>
              <w:widowControl w:val="0"/>
              <w:autoSpaceDE w:val="0"/>
              <w:autoSpaceDN w:val="0"/>
              <w:adjustRightInd w:val="0"/>
            </w:pPr>
            <w:r>
              <w:t>xi)</w:t>
            </w:r>
          </w:p>
        </w:tc>
        <w:tc>
          <w:tcPr>
            <w:tcW w:w="4101" w:type="dxa"/>
          </w:tcPr>
          <w:p w:rsidR="00144AF5" w:rsidRDefault="00144AF5" w:rsidP="005862CD">
            <w:pPr>
              <w:widowControl w:val="0"/>
              <w:autoSpaceDE w:val="0"/>
              <w:autoSpaceDN w:val="0"/>
              <w:adjustRightInd w:val="0"/>
            </w:pPr>
            <w:r>
              <w:t>Investments in joint ventures</w:t>
            </w:r>
          </w:p>
        </w:tc>
        <w:tc>
          <w:tcPr>
            <w:tcW w:w="1596" w:type="dxa"/>
          </w:tcPr>
          <w:p w:rsidR="00144AF5" w:rsidRDefault="00144AF5" w:rsidP="00892758">
            <w:pPr>
              <w:widowControl w:val="0"/>
              <w:autoSpaceDE w:val="0"/>
              <w:autoSpaceDN w:val="0"/>
              <w:adjustRightInd w:val="0"/>
              <w:jc w:val="center"/>
            </w:pPr>
            <w:r>
              <w:t>25%</w:t>
            </w:r>
          </w:p>
        </w:tc>
      </w:tr>
      <w:tr w:rsidR="00144AF5" w:rsidTr="00144AF5">
        <w:tblPrEx>
          <w:tblCellMar>
            <w:top w:w="0" w:type="dxa"/>
            <w:bottom w:w="0" w:type="dxa"/>
          </w:tblCellMar>
        </w:tblPrEx>
        <w:trPr>
          <w:trHeight w:val="810"/>
        </w:trPr>
        <w:tc>
          <w:tcPr>
            <w:tcW w:w="738" w:type="dxa"/>
          </w:tcPr>
          <w:p w:rsidR="00144AF5" w:rsidRDefault="00144AF5" w:rsidP="00117ADB">
            <w:pPr>
              <w:widowControl w:val="0"/>
              <w:autoSpaceDE w:val="0"/>
              <w:autoSpaceDN w:val="0"/>
              <w:adjustRightInd w:val="0"/>
            </w:pPr>
            <w:r>
              <w:t>xii)</w:t>
            </w:r>
          </w:p>
        </w:tc>
        <w:tc>
          <w:tcPr>
            <w:tcW w:w="4101" w:type="dxa"/>
          </w:tcPr>
          <w:p w:rsidR="00144AF5" w:rsidRDefault="00144AF5" w:rsidP="005862CD">
            <w:pPr>
              <w:widowControl w:val="0"/>
              <w:autoSpaceDE w:val="0"/>
              <w:autoSpaceDN w:val="0"/>
              <w:adjustRightInd w:val="0"/>
            </w:pPr>
            <w:r>
              <w:t xml:space="preserve">Investments in </w:t>
            </w:r>
            <w:proofErr w:type="spellStart"/>
            <w:r>
              <w:t>nonprequalified</w:t>
            </w:r>
            <w:proofErr w:type="spellEnd"/>
            <w:r>
              <w:t xml:space="preserve"> affiliated companies</w:t>
            </w:r>
          </w:p>
        </w:tc>
        <w:tc>
          <w:tcPr>
            <w:tcW w:w="1596" w:type="dxa"/>
          </w:tcPr>
          <w:p w:rsidR="00144AF5" w:rsidRDefault="00144AF5" w:rsidP="00892758">
            <w:pPr>
              <w:widowControl w:val="0"/>
              <w:autoSpaceDE w:val="0"/>
              <w:autoSpaceDN w:val="0"/>
              <w:adjustRightInd w:val="0"/>
              <w:jc w:val="center"/>
            </w:pPr>
            <w:r>
              <w:t>25%</w:t>
            </w:r>
          </w:p>
        </w:tc>
      </w:tr>
      <w:tr w:rsidR="00144AF5" w:rsidTr="00117ADB">
        <w:tblPrEx>
          <w:tblCellMar>
            <w:top w:w="0" w:type="dxa"/>
            <w:bottom w:w="0" w:type="dxa"/>
          </w:tblCellMar>
        </w:tblPrEx>
        <w:trPr>
          <w:trHeight w:val="486"/>
        </w:trPr>
        <w:tc>
          <w:tcPr>
            <w:tcW w:w="738" w:type="dxa"/>
          </w:tcPr>
          <w:p w:rsidR="00144AF5" w:rsidRDefault="00144AF5" w:rsidP="00117ADB">
            <w:pPr>
              <w:widowControl w:val="0"/>
              <w:autoSpaceDE w:val="0"/>
              <w:autoSpaceDN w:val="0"/>
              <w:adjustRightInd w:val="0"/>
            </w:pPr>
            <w:r>
              <w:t>xiii)</w:t>
            </w:r>
          </w:p>
        </w:tc>
        <w:tc>
          <w:tcPr>
            <w:tcW w:w="4101" w:type="dxa"/>
          </w:tcPr>
          <w:p w:rsidR="00144AF5" w:rsidRDefault="00144AF5" w:rsidP="005862CD">
            <w:pPr>
              <w:widowControl w:val="0"/>
              <w:autoSpaceDE w:val="0"/>
              <w:autoSpaceDN w:val="0"/>
              <w:adjustRightInd w:val="0"/>
            </w:pPr>
            <w:r>
              <w:t>Deferred tax asset</w:t>
            </w:r>
          </w:p>
        </w:tc>
        <w:tc>
          <w:tcPr>
            <w:tcW w:w="1596" w:type="dxa"/>
          </w:tcPr>
          <w:p w:rsidR="00144AF5" w:rsidRDefault="00144AF5" w:rsidP="00892758">
            <w:pPr>
              <w:widowControl w:val="0"/>
              <w:autoSpaceDE w:val="0"/>
              <w:autoSpaceDN w:val="0"/>
              <w:adjustRightInd w:val="0"/>
              <w:jc w:val="center"/>
            </w:pPr>
            <w:r>
              <w:t>33⅓%</w:t>
            </w:r>
          </w:p>
        </w:tc>
      </w:tr>
      <w:tr w:rsidR="00144AF5" w:rsidTr="00144AF5">
        <w:tblPrEx>
          <w:tblCellMar>
            <w:top w:w="0" w:type="dxa"/>
            <w:bottom w:w="0" w:type="dxa"/>
          </w:tblCellMar>
        </w:tblPrEx>
        <w:trPr>
          <w:trHeight w:val="216"/>
        </w:trPr>
        <w:tc>
          <w:tcPr>
            <w:tcW w:w="738" w:type="dxa"/>
          </w:tcPr>
          <w:p w:rsidR="00144AF5" w:rsidRDefault="00144AF5" w:rsidP="00117ADB">
            <w:pPr>
              <w:widowControl w:val="0"/>
              <w:autoSpaceDE w:val="0"/>
              <w:autoSpaceDN w:val="0"/>
              <w:adjustRightInd w:val="0"/>
            </w:pPr>
            <w:r>
              <w:t>xiv)</w:t>
            </w:r>
          </w:p>
        </w:tc>
        <w:tc>
          <w:tcPr>
            <w:tcW w:w="4101" w:type="dxa"/>
          </w:tcPr>
          <w:p w:rsidR="00144AF5" w:rsidRDefault="00144AF5" w:rsidP="005862CD">
            <w:pPr>
              <w:widowControl w:val="0"/>
              <w:autoSpaceDE w:val="0"/>
              <w:autoSpaceDN w:val="0"/>
              <w:adjustRightInd w:val="0"/>
            </w:pPr>
            <w:r>
              <w:t>Personal effects (sole proprietor)</w:t>
            </w:r>
          </w:p>
        </w:tc>
        <w:tc>
          <w:tcPr>
            <w:tcW w:w="1596" w:type="dxa"/>
          </w:tcPr>
          <w:p w:rsidR="00144AF5" w:rsidRDefault="00144AF5" w:rsidP="00892758">
            <w:pPr>
              <w:widowControl w:val="0"/>
              <w:autoSpaceDE w:val="0"/>
              <w:autoSpaceDN w:val="0"/>
              <w:adjustRightInd w:val="0"/>
              <w:jc w:val="center"/>
            </w:pPr>
            <w:r>
              <w:t>100%</w:t>
            </w:r>
          </w:p>
        </w:tc>
      </w:tr>
    </w:tbl>
    <w:p w:rsidR="00117ADB" w:rsidRDefault="00117ADB"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160" w:hanging="720"/>
      </w:pPr>
      <w:r>
        <w:t>7)</w:t>
      </w:r>
      <w:r>
        <w:tab/>
        <w:t xml:space="preserve">Schedule G </w:t>
      </w:r>
      <w:r w:rsidR="00DE7E55">
        <w:t xml:space="preserve">– </w:t>
      </w:r>
      <w:r>
        <w:t xml:space="preserve">Material in Stock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 xml:space="preserve">Inventories are evaluated and classified as follows: </w:t>
      </w:r>
    </w:p>
    <w:p w:rsidR="00295122" w:rsidRDefault="00295122" w:rsidP="00295122">
      <w:pPr>
        <w:widowControl w:val="0"/>
        <w:autoSpaceDE w:val="0"/>
        <w:autoSpaceDN w:val="0"/>
        <w:adjustRightInd w:val="0"/>
        <w:ind w:left="2880" w:hanging="720"/>
      </w:pPr>
    </w:p>
    <w:tbl>
      <w:tblPr>
        <w:tblW w:w="6435" w:type="dxa"/>
        <w:tblInd w:w="2907" w:type="dxa"/>
        <w:tblLook w:val="0000" w:firstRow="0" w:lastRow="0" w:firstColumn="0" w:lastColumn="0" w:noHBand="0" w:noVBand="0"/>
      </w:tblPr>
      <w:tblGrid>
        <w:gridCol w:w="738"/>
        <w:gridCol w:w="4101"/>
        <w:gridCol w:w="1596"/>
      </w:tblGrid>
      <w:tr w:rsidR="00144AF5" w:rsidTr="00892758">
        <w:tblPrEx>
          <w:tblCellMar>
            <w:top w:w="0" w:type="dxa"/>
            <w:bottom w:w="0" w:type="dxa"/>
          </w:tblCellMar>
        </w:tblPrEx>
        <w:trPr>
          <w:trHeight w:val="405"/>
        </w:trPr>
        <w:tc>
          <w:tcPr>
            <w:tcW w:w="738" w:type="dxa"/>
          </w:tcPr>
          <w:p w:rsidR="00144AF5" w:rsidRDefault="00144AF5" w:rsidP="00892758">
            <w:pPr>
              <w:widowControl w:val="0"/>
              <w:autoSpaceDE w:val="0"/>
              <w:autoSpaceDN w:val="0"/>
              <w:adjustRightInd w:val="0"/>
            </w:pPr>
          </w:p>
        </w:tc>
        <w:tc>
          <w:tcPr>
            <w:tcW w:w="4101" w:type="dxa"/>
          </w:tcPr>
          <w:p w:rsidR="00144AF5" w:rsidRDefault="00144AF5" w:rsidP="00892758">
            <w:pPr>
              <w:widowControl w:val="0"/>
              <w:autoSpaceDE w:val="0"/>
              <w:autoSpaceDN w:val="0"/>
              <w:adjustRightInd w:val="0"/>
            </w:pPr>
          </w:p>
        </w:tc>
        <w:tc>
          <w:tcPr>
            <w:tcW w:w="1596" w:type="dxa"/>
          </w:tcPr>
          <w:p w:rsidR="00144AF5" w:rsidRDefault="00144AF5" w:rsidP="00892758">
            <w:pPr>
              <w:widowControl w:val="0"/>
              <w:autoSpaceDE w:val="0"/>
              <w:autoSpaceDN w:val="0"/>
              <w:adjustRightInd w:val="0"/>
              <w:jc w:val="center"/>
            </w:pPr>
            <w:r>
              <w:t>Discount</w:t>
            </w:r>
          </w:p>
        </w:tc>
      </w:tr>
      <w:tr w:rsidR="00144AF5" w:rsidTr="00892758">
        <w:tblPrEx>
          <w:tblCellMar>
            <w:top w:w="0" w:type="dxa"/>
            <w:bottom w:w="0" w:type="dxa"/>
          </w:tblCellMar>
        </w:tblPrEx>
        <w:trPr>
          <w:trHeight w:val="1080"/>
        </w:trPr>
        <w:tc>
          <w:tcPr>
            <w:tcW w:w="738" w:type="dxa"/>
          </w:tcPr>
          <w:p w:rsidR="00144AF5" w:rsidRDefault="00144AF5" w:rsidP="00892758">
            <w:pPr>
              <w:widowControl w:val="0"/>
              <w:autoSpaceDE w:val="0"/>
              <w:autoSpaceDN w:val="0"/>
              <w:adjustRightInd w:val="0"/>
            </w:pPr>
            <w:r>
              <w:t>i)</w:t>
            </w:r>
          </w:p>
        </w:tc>
        <w:tc>
          <w:tcPr>
            <w:tcW w:w="4101" w:type="dxa"/>
          </w:tcPr>
          <w:p w:rsidR="00144AF5" w:rsidRDefault="00144AF5" w:rsidP="00892758">
            <w:pPr>
              <w:widowControl w:val="0"/>
              <w:autoSpaceDE w:val="0"/>
              <w:autoSpaceDN w:val="0"/>
              <w:adjustRightInd w:val="0"/>
            </w:pPr>
            <w:r>
              <w:t>Verified value of material in stock for current contracts except sod and growing nursery stock</w:t>
            </w:r>
          </w:p>
        </w:tc>
        <w:tc>
          <w:tcPr>
            <w:tcW w:w="1596" w:type="dxa"/>
          </w:tcPr>
          <w:p w:rsidR="00144AF5" w:rsidRDefault="00144AF5" w:rsidP="00892758">
            <w:pPr>
              <w:widowControl w:val="0"/>
              <w:autoSpaceDE w:val="0"/>
              <w:autoSpaceDN w:val="0"/>
              <w:adjustRightInd w:val="0"/>
              <w:jc w:val="center"/>
            </w:pPr>
            <w:r>
              <w:t>0%</w:t>
            </w:r>
          </w:p>
        </w:tc>
      </w:tr>
      <w:tr w:rsidR="00892758" w:rsidTr="00892758">
        <w:tblPrEx>
          <w:tblCellMar>
            <w:top w:w="0" w:type="dxa"/>
            <w:bottom w:w="0" w:type="dxa"/>
          </w:tblCellMar>
        </w:tblPrEx>
        <w:trPr>
          <w:trHeight w:val="480"/>
        </w:trPr>
        <w:tc>
          <w:tcPr>
            <w:tcW w:w="738" w:type="dxa"/>
          </w:tcPr>
          <w:p w:rsidR="00892758" w:rsidRDefault="00892758" w:rsidP="00892758">
            <w:pPr>
              <w:widowControl w:val="0"/>
              <w:autoSpaceDE w:val="0"/>
              <w:autoSpaceDN w:val="0"/>
              <w:adjustRightInd w:val="0"/>
            </w:pPr>
            <w:r>
              <w:t>ii)</w:t>
            </w:r>
          </w:p>
        </w:tc>
        <w:tc>
          <w:tcPr>
            <w:tcW w:w="4101" w:type="dxa"/>
          </w:tcPr>
          <w:p w:rsidR="00892758" w:rsidRDefault="00892758" w:rsidP="00892758">
            <w:pPr>
              <w:widowControl w:val="0"/>
              <w:autoSpaceDE w:val="0"/>
              <w:autoSpaceDN w:val="0"/>
              <w:adjustRightInd w:val="0"/>
            </w:pPr>
            <w:r>
              <w:t>Verified value of other material in stock</w:t>
            </w:r>
          </w:p>
        </w:tc>
        <w:tc>
          <w:tcPr>
            <w:tcW w:w="1596" w:type="dxa"/>
          </w:tcPr>
          <w:p w:rsidR="00892758" w:rsidRDefault="00892758" w:rsidP="00892758">
            <w:pPr>
              <w:widowControl w:val="0"/>
              <w:autoSpaceDE w:val="0"/>
              <w:autoSpaceDN w:val="0"/>
              <w:adjustRightInd w:val="0"/>
              <w:jc w:val="center"/>
            </w:pPr>
            <w:r>
              <w:t>10%</w:t>
            </w:r>
          </w:p>
        </w:tc>
      </w:tr>
      <w:tr w:rsidR="00892758" w:rsidTr="00892758">
        <w:tblPrEx>
          <w:tblCellMar>
            <w:top w:w="0" w:type="dxa"/>
            <w:bottom w:w="0" w:type="dxa"/>
          </w:tblCellMar>
        </w:tblPrEx>
        <w:trPr>
          <w:trHeight w:val="540"/>
        </w:trPr>
        <w:tc>
          <w:tcPr>
            <w:tcW w:w="738" w:type="dxa"/>
          </w:tcPr>
          <w:p w:rsidR="00892758" w:rsidRDefault="00892758" w:rsidP="00892758">
            <w:pPr>
              <w:widowControl w:val="0"/>
              <w:autoSpaceDE w:val="0"/>
              <w:autoSpaceDN w:val="0"/>
              <w:adjustRightInd w:val="0"/>
            </w:pPr>
            <w:r>
              <w:t>iii)</w:t>
            </w:r>
          </w:p>
        </w:tc>
        <w:tc>
          <w:tcPr>
            <w:tcW w:w="4101" w:type="dxa"/>
          </w:tcPr>
          <w:p w:rsidR="00892758" w:rsidRDefault="00892758" w:rsidP="00892758">
            <w:pPr>
              <w:widowControl w:val="0"/>
              <w:autoSpaceDE w:val="0"/>
              <w:autoSpaceDN w:val="0"/>
              <w:adjustRightInd w:val="0"/>
            </w:pPr>
            <w:r>
              <w:t>Verified book or appraised value of sod and growing nursery stock</w:t>
            </w:r>
          </w:p>
        </w:tc>
        <w:tc>
          <w:tcPr>
            <w:tcW w:w="1596" w:type="dxa"/>
          </w:tcPr>
          <w:p w:rsidR="00892758" w:rsidRDefault="00892758" w:rsidP="00892758">
            <w:pPr>
              <w:widowControl w:val="0"/>
              <w:autoSpaceDE w:val="0"/>
              <w:autoSpaceDN w:val="0"/>
              <w:adjustRightInd w:val="0"/>
              <w:jc w:val="center"/>
            </w:pPr>
            <w:r>
              <w:t>50%</w:t>
            </w:r>
          </w:p>
        </w:tc>
      </w:tr>
    </w:tbl>
    <w:p w:rsidR="00295122" w:rsidRDefault="00295122" w:rsidP="00295122">
      <w:pPr>
        <w:widowControl w:val="0"/>
        <w:autoSpaceDE w:val="0"/>
        <w:autoSpaceDN w:val="0"/>
        <w:adjustRightInd w:val="0"/>
        <w:ind w:left="2880" w:hanging="720"/>
      </w:pPr>
    </w:p>
    <w:p w:rsidR="00295122" w:rsidRDefault="00DE7E55" w:rsidP="00295122">
      <w:pPr>
        <w:widowControl w:val="0"/>
        <w:autoSpaceDE w:val="0"/>
        <w:autoSpaceDN w:val="0"/>
        <w:adjustRightInd w:val="0"/>
        <w:ind w:left="2880" w:hanging="720"/>
      </w:pPr>
      <w:r>
        <w:t>B)</w:t>
      </w:r>
      <w:r>
        <w:tab/>
      </w:r>
      <w:r w:rsidR="00295122">
        <w:t xml:space="preserve">In completing Schedule G, the accountant shall exclude the value of any material for which a material allowance has been paid. </w:t>
      </w:r>
    </w:p>
    <w:p w:rsidR="004F20E8" w:rsidRDefault="004F20E8"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8)</w:t>
      </w:r>
      <w:r>
        <w:tab/>
        <w:t xml:space="preserve">Schedule H </w:t>
      </w:r>
      <w:r w:rsidR="00DE7E55">
        <w:t xml:space="preserve">– </w:t>
      </w:r>
      <w:r>
        <w:t xml:space="preserve">Cash Surrender Value of Life Insurance </w:t>
      </w:r>
    </w:p>
    <w:p w:rsidR="00295122" w:rsidRDefault="00295122" w:rsidP="00DE7E55">
      <w:pPr>
        <w:widowControl w:val="0"/>
        <w:autoSpaceDE w:val="0"/>
        <w:autoSpaceDN w:val="0"/>
        <w:adjustRightInd w:val="0"/>
        <w:ind w:left="2160"/>
      </w:pPr>
      <w:r>
        <w:t xml:space="preserve">Cash surrender value, not face value, of life insurance is considered a current asset provided the amount of any policy loan is considered as a current liability. </w:t>
      </w:r>
    </w:p>
    <w:p w:rsidR="003B3522" w:rsidRDefault="003B3522"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9)</w:t>
      </w:r>
      <w:r>
        <w:tab/>
        <w:t xml:space="preserve">Schedule I </w:t>
      </w:r>
      <w:r w:rsidR="00DE7E55">
        <w:t xml:space="preserve">– </w:t>
      </w:r>
      <w:r>
        <w:t xml:space="preserve">Prepaid Items </w:t>
      </w:r>
    </w:p>
    <w:p w:rsidR="00295122" w:rsidRDefault="00295122" w:rsidP="00DE7E55">
      <w:pPr>
        <w:widowControl w:val="0"/>
        <w:autoSpaceDE w:val="0"/>
        <w:autoSpaceDN w:val="0"/>
        <w:adjustRightInd w:val="0"/>
        <w:ind w:left="2160"/>
      </w:pPr>
      <w:r>
        <w:t xml:space="preserve">All prepaid items will be discounted 100%. </w:t>
      </w:r>
    </w:p>
    <w:p w:rsidR="004F20E8" w:rsidRDefault="004F20E8" w:rsidP="00DE7E55">
      <w:pPr>
        <w:widowControl w:val="0"/>
        <w:autoSpaceDE w:val="0"/>
        <w:autoSpaceDN w:val="0"/>
        <w:adjustRightInd w:val="0"/>
        <w:ind w:left="2160"/>
      </w:pPr>
    </w:p>
    <w:p w:rsidR="00295122" w:rsidRDefault="00295122" w:rsidP="003833F3">
      <w:pPr>
        <w:widowControl w:val="0"/>
        <w:autoSpaceDE w:val="0"/>
        <w:autoSpaceDN w:val="0"/>
        <w:adjustRightInd w:val="0"/>
        <w:ind w:left="2160" w:hanging="828"/>
      </w:pPr>
      <w:r>
        <w:t>10)</w:t>
      </w:r>
      <w:r>
        <w:tab/>
        <w:t xml:space="preserve">Schedule J </w:t>
      </w:r>
      <w:r w:rsidR="00DE7E55">
        <w:t xml:space="preserve">– </w:t>
      </w:r>
      <w:r>
        <w:t xml:space="preserve">Relation of Billings and Costs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 xml:space="preserve">This schedule is established for the convenience of those contractors that report income for Federal tax purposes on the cash method (completed contract), but who prepare financial statements on the accrual method (percentage of completion).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B)</w:t>
      </w:r>
      <w:r>
        <w:tab/>
        <w:t xml:space="preserve">Where the applicant classifies his billings in excess of costs as a fixed or other liability, the Department shall reclassify it as a current liability.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C)</w:t>
      </w:r>
      <w:r>
        <w:tab/>
        <w:t xml:space="preserve">The discount applied to billings and costs by the Department is as follows: </w:t>
      </w:r>
    </w:p>
    <w:p w:rsidR="00223833" w:rsidRDefault="00223833" w:rsidP="00295122">
      <w:pPr>
        <w:widowControl w:val="0"/>
        <w:autoSpaceDE w:val="0"/>
        <w:autoSpaceDN w:val="0"/>
        <w:adjustRightInd w:val="0"/>
        <w:ind w:left="2880" w:hanging="720"/>
      </w:pPr>
    </w:p>
    <w:tbl>
      <w:tblPr>
        <w:tblW w:w="0" w:type="auto"/>
        <w:tblInd w:w="3015" w:type="dxa"/>
        <w:tblLook w:val="0000" w:firstRow="0" w:lastRow="0" w:firstColumn="0" w:lastColumn="0" w:noHBand="0" w:noVBand="0"/>
      </w:tblPr>
      <w:tblGrid>
        <w:gridCol w:w="4845"/>
        <w:gridCol w:w="1500"/>
      </w:tblGrid>
      <w:tr w:rsidR="00223833" w:rsidTr="00223833">
        <w:tblPrEx>
          <w:tblCellMar>
            <w:top w:w="0" w:type="dxa"/>
            <w:bottom w:w="0" w:type="dxa"/>
          </w:tblCellMar>
        </w:tblPrEx>
        <w:tc>
          <w:tcPr>
            <w:tcW w:w="4845" w:type="dxa"/>
          </w:tcPr>
          <w:p w:rsidR="00223833" w:rsidRDefault="00223833" w:rsidP="00295122">
            <w:pPr>
              <w:widowControl w:val="0"/>
              <w:autoSpaceDE w:val="0"/>
              <w:autoSpaceDN w:val="0"/>
              <w:adjustRightInd w:val="0"/>
            </w:pPr>
          </w:p>
        </w:tc>
        <w:tc>
          <w:tcPr>
            <w:tcW w:w="1500" w:type="dxa"/>
          </w:tcPr>
          <w:p w:rsidR="00223833" w:rsidRDefault="00223833" w:rsidP="00223833">
            <w:pPr>
              <w:widowControl w:val="0"/>
              <w:autoSpaceDE w:val="0"/>
              <w:autoSpaceDN w:val="0"/>
              <w:adjustRightInd w:val="0"/>
              <w:jc w:val="center"/>
            </w:pPr>
            <w:r>
              <w:t>Discount</w:t>
            </w:r>
          </w:p>
        </w:tc>
      </w:tr>
      <w:tr w:rsidR="00223833" w:rsidTr="00223833">
        <w:tblPrEx>
          <w:tblCellMar>
            <w:top w:w="0" w:type="dxa"/>
            <w:bottom w:w="0" w:type="dxa"/>
          </w:tblCellMar>
        </w:tblPrEx>
        <w:tc>
          <w:tcPr>
            <w:tcW w:w="4845" w:type="dxa"/>
          </w:tcPr>
          <w:p w:rsidR="00223833" w:rsidRDefault="00223833" w:rsidP="00223833">
            <w:pPr>
              <w:widowControl w:val="0"/>
              <w:autoSpaceDE w:val="0"/>
              <w:autoSpaceDN w:val="0"/>
              <w:adjustRightInd w:val="0"/>
              <w:ind w:left="180" w:right="-456"/>
            </w:pPr>
            <w:r>
              <w:t>Costs in excess of billings (current assets)</w:t>
            </w:r>
          </w:p>
        </w:tc>
        <w:tc>
          <w:tcPr>
            <w:tcW w:w="1500" w:type="dxa"/>
          </w:tcPr>
          <w:p w:rsidR="00223833" w:rsidRDefault="00223833" w:rsidP="00223833">
            <w:pPr>
              <w:widowControl w:val="0"/>
              <w:autoSpaceDE w:val="0"/>
              <w:autoSpaceDN w:val="0"/>
              <w:adjustRightInd w:val="0"/>
              <w:jc w:val="center"/>
            </w:pPr>
            <w:r>
              <w:t>10%</w:t>
            </w:r>
          </w:p>
        </w:tc>
      </w:tr>
    </w:tbl>
    <w:p w:rsidR="00223833" w:rsidRDefault="00223833"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1440" w:hanging="720"/>
      </w:pPr>
      <w:r>
        <w:t>b)</w:t>
      </w:r>
      <w:r>
        <w:tab/>
        <w:t xml:space="preserve">Fixed Assets </w:t>
      </w:r>
    </w:p>
    <w:p w:rsidR="004F20E8" w:rsidRDefault="004F20E8"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1)</w:t>
      </w:r>
      <w:r>
        <w:tab/>
        <w:t xml:space="preserve">Schedule K </w:t>
      </w:r>
      <w:r w:rsidR="00DE7E55">
        <w:t xml:space="preserve">– </w:t>
      </w:r>
      <w:r>
        <w:t xml:space="preserve">Real Estate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 xml:space="preserve">No consideration is given if title-held land and improvements are not verified by the certified public accountant for audited financial statements.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B)</w:t>
      </w:r>
      <w:r>
        <w:tab/>
        <w:t xml:space="preserve">The allowance for real estate is the value of title-held land and improvements less long term encumbrances from commercial lending institutions times a factor of 50 percent.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C)</w:t>
      </w:r>
      <w:r>
        <w:tab/>
        <w:t xml:space="preserve">The value may be based on an accredited real estate appraisal which is not more than 24 months old at the time of receipt by the Department.  The appraiser's background, experience and references must be submitted.  The information on the appraiser is not required if a tax assessment value is provided.  The firm must request the use of the appraisal and note any deletions or additions (with corresponding values) since the appraisal date.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D)</w:t>
      </w:r>
      <w:r>
        <w:tab/>
        <w:t xml:space="preserve">An applicant shall submit the Department's Certificate of Appraiser.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E)</w:t>
      </w:r>
      <w:r>
        <w:tab/>
        <w:t xml:space="preserve">If an appraisal is not submitted or accepted, the allowance will be based on book value.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F)</w:t>
      </w:r>
      <w:r>
        <w:tab/>
        <w:t xml:space="preserve">If the net appraised or book value is less than long term encumbrances, no reclassification of excess encumbrance will be made to current liabilities if current year's payments are provided for in current liabilities.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G)</w:t>
      </w:r>
      <w:r>
        <w:tab/>
        <w:t xml:space="preserve">No allowances are given for oil leases, leasehold improvements, mineral leases or land lease prepayments. </w:t>
      </w:r>
    </w:p>
    <w:p w:rsidR="004F20E8" w:rsidRDefault="004F20E8" w:rsidP="00295122">
      <w:pPr>
        <w:widowControl w:val="0"/>
        <w:autoSpaceDE w:val="0"/>
        <w:autoSpaceDN w:val="0"/>
        <w:adjustRightInd w:val="0"/>
        <w:ind w:left="2160" w:hanging="720"/>
      </w:pPr>
    </w:p>
    <w:p w:rsidR="00295122" w:rsidRDefault="00295122" w:rsidP="00295122">
      <w:pPr>
        <w:widowControl w:val="0"/>
        <w:autoSpaceDE w:val="0"/>
        <w:autoSpaceDN w:val="0"/>
        <w:adjustRightInd w:val="0"/>
        <w:ind w:left="2160" w:hanging="720"/>
      </w:pPr>
      <w:r>
        <w:t>2)</w:t>
      </w:r>
      <w:r>
        <w:tab/>
        <w:t xml:space="preserve">Equipment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A)</w:t>
      </w:r>
      <w:r>
        <w:tab/>
        <w:t xml:space="preserve">In the case of audited financial statements, the accountant shall verify the correctness of the equipment schedule.  All equipment which is still serviceable, even though fully depreciated, shall be included and listed by classification such as graders, scrapers, front-end loaders, bulldozers, cranes, etc.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B)</w:t>
      </w:r>
      <w:r>
        <w:tab/>
        <w:t xml:space="preserve">The allowance for equipment is the value of owned construction equipment, including purchase deposits and capital leases, less long term encumbrances to commercial lending institutions times a factor of 70 percent.  No value will be given for operating leases or rental equipment.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C)</w:t>
      </w:r>
      <w:r>
        <w:tab/>
        <w:t xml:space="preserve">The value may be based on an accredited equipment appraisal (physical inspection) that is not more than 24 months old at the time of receipt by the Department.  The appraiser's background, experience and references shall be submitted.  The firm must request the use of the appraisal and note any deletions or additions (with corresponding values) since the appraisal date. </w:t>
      </w:r>
    </w:p>
    <w:p w:rsidR="004F20E8" w:rsidRDefault="004F20E8" w:rsidP="00295122">
      <w:pPr>
        <w:widowControl w:val="0"/>
        <w:autoSpaceDE w:val="0"/>
        <w:autoSpaceDN w:val="0"/>
        <w:adjustRightInd w:val="0"/>
        <w:ind w:left="2880" w:hanging="720"/>
      </w:pPr>
    </w:p>
    <w:p w:rsidR="00295122" w:rsidRDefault="00295122" w:rsidP="00295122">
      <w:pPr>
        <w:widowControl w:val="0"/>
        <w:autoSpaceDE w:val="0"/>
        <w:autoSpaceDN w:val="0"/>
        <w:adjustRightInd w:val="0"/>
        <w:ind w:left="2880" w:hanging="720"/>
      </w:pPr>
      <w:r>
        <w:t>D)</w:t>
      </w:r>
      <w:r>
        <w:tab/>
        <w:t xml:space="preserve">An applicant shall submit the Department's Certificate of Appraiser. </w:t>
      </w:r>
    </w:p>
    <w:p w:rsidR="004F20E8" w:rsidRDefault="004F20E8" w:rsidP="00295122">
      <w:pPr>
        <w:widowControl w:val="0"/>
        <w:autoSpaceDE w:val="0"/>
        <w:autoSpaceDN w:val="0"/>
        <w:adjustRightInd w:val="0"/>
        <w:ind w:left="2880" w:hanging="720"/>
      </w:pPr>
    </w:p>
    <w:p w:rsidR="006138A0" w:rsidRDefault="006138A0" w:rsidP="00295122">
      <w:pPr>
        <w:widowControl w:val="0"/>
        <w:autoSpaceDE w:val="0"/>
        <w:autoSpaceDN w:val="0"/>
        <w:adjustRightInd w:val="0"/>
        <w:ind w:left="2880" w:hanging="720"/>
      </w:pPr>
      <w:r>
        <w:t>E</w:t>
      </w:r>
      <w:r w:rsidR="003B3522">
        <w:t>)</w:t>
      </w:r>
      <w:r>
        <w:tab/>
        <w:t>An appraisal that include</w:t>
      </w:r>
      <w:r w:rsidR="005F2E29">
        <w:t>s</w:t>
      </w:r>
      <w:r>
        <w:t xml:space="preserve"> only the </w:t>
      </w:r>
      <w:r w:rsidR="003B3522">
        <w:t>f</w:t>
      </w:r>
      <w:r>
        <w:t xml:space="preserve">air </w:t>
      </w:r>
      <w:r w:rsidR="003B3522">
        <w:t>m</w:t>
      </w:r>
      <w:r>
        <w:t xml:space="preserve">arket </w:t>
      </w:r>
      <w:r w:rsidR="003B3522">
        <w:t>v</w:t>
      </w:r>
      <w:r>
        <w:t>alue will be discounted 20% before being included in the calculation of an applicant's financial rating.</w:t>
      </w:r>
    </w:p>
    <w:p w:rsidR="006138A0" w:rsidRDefault="006138A0" w:rsidP="00295122">
      <w:pPr>
        <w:widowControl w:val="0"/>
        <w:autoSpaceDE w:val="0"/>
        <w:autoSpaceDN w:val="0"/>
        <w:adjustRightInd w:val="0"/>
        <w:ind w:left="2880" w:hanging="720"/>
      </w:pPr>
    </w:p>
    <w:p w:rsidR="00295122" w:rsidRDefault="006138A0" w:rsidP="00295122">
      <w:pPr>
        <w:widowControl w:val="0"/>
        <w:autoSpaceDE w:val="0"/>
        <w:autoSpaceDN w:val="0"/>
        <w:adjustRightInd w:val="0"/>
        <w:ind w:left="2880" w:hanging="720"/>
      </w:pPr>
      <w:r>
        <w:t>F</w:t>
      </w:r>
      <w:r w:rsidR="00295122">
        <w:t>)</w:t>
      </w:r>
      <w:r w:rsidR="00295122">
        <w:tab/>
        <w:t xml:space="preserve">If an appraisal is not submitted or accepted, the allowance will be based on book value. </w:t>
      </w:r>
    </w:p>
    <w:p w:rsidR="004F20E8" w:rsidRDefault="004F20E8" w:rsidP="00295122">
      <w:pPr>
        <w:widowControl w:val="0"/>
        <w:autoSpaceDE w:val="0"/>
        <w:autoSpaceDN w:val="0"/>
        <w:adjustRightInd w:val="0"/>
        <w:ind w:left="2880" w:hanging="720"/>
      </w:pPr>
    </w:p>
    <w:p w:rsidR="00295122" w:rsidRDefault="006138A0" w:rsidP="00295122">
      <w:pPr>
        <w:widowControl w:val="0"/>
        <w:autoSpaceDE w:val="0"/>
        <w:autoSpaceDN w:val="0"/>
        <w:adjustRightInd w:val="0"/>
        <w:ind w:left="2880" w:hanging="720"/>
      </w:pPr>
      <w:r>
        <w:t>G</w:t>
      </w:r>
      <w:r w:rsidR="00295122">
        <w:t>)</w:t>
      </w:r>
      <w:r w:rsidR="00295122">
        <w:tab/>
        <w:t xml:space="preserve">The accountant may restate any accelerated depreciated value to straight-line depreciation for determining book value. </w:t>
      </w:r>
    </w:p>
    <w:p w:rsidR="004F20E8" w:rsidRDefault="004F20E8" w:rsidP="00295122">
      <w:pPr>
        <w:widowControl w:val="0"/>
        <w:autoSpaceDE w:val="0"/>
        <w:autoSpaceDN w:val="0"/>
        <w:adjustRightInd w:val="0"/>
        <w:ind w:left="2880" w:hanging="720"/>
      </w:pPr>
    </w:p>
    <w:p w:rsidR="001347B1" w:rsidRDefault="006138A0" w:rsidP="00295122">
      <w:pPr>
        <w:widowControl w:val="0"/>
        <w:autoSpaceDE w:val="0"/>
        <w:autoSpaceDN w:val="0"/>
        <w:adjustRightInd w:val="0"/>
        <w:ind w:left="2880" w:hanging="720"/>
      </w:pPr>
      <w:r>
        <w:t>H</w:t>
      </w:r>
      <w:r w:rsidR="00295122">
        <w:t>)</w:t>
      </w:r>
      <w:r w:rsidR="00295122">
        <w:tab/>
        <w:t xml:space="preserve">If the net appraised or book value is less than long term encumbrances, no reclassification of excess encumbrance will be made to current liabilities if current year's payments are provided for in current liabilities. </w:t>
      </w:r>
    </w:p>
    <w:p w:rsidR="004F20E8" w:rsidRDefault="004F20E8" w:rsidP="001347B1">
      <w:pPr>
        <w:widowControl w:val="0"/>
        <w:tabs>
          <w:tab w:val="left" w:pos="2166"/>
        </w:tabs>
        <w:autoSpaceDE w:val="0"/>
        <w:autoSpaceDN w:val="0"/>
        <w:adjustRightInd w:val="0"/>
        <w:ind w:left="1440" w:hanging="720"/>
      </w:pPr>
    </w:p>
    <w:p w:rsidR="00295122" w:rsidRDefault="00295122" w:rsidP="001347B1">
      <w:pPr>
        <w:widowControl w:val="0"/>
        <w:tabs>
          <w:tab w:val="left" w:pos="2166"/>
        </w:tabs>
        <w:autoSpaceDE w:val="0"/>
        <w:autoSpaceDN w:val="0"/>
        <w:adjustRightInd w:val="0"/>
        <w:ind w:left="1440" w:hanging="720"/>
      </w:pPr>
      <w:r>
        <w:t>c)</w:t>
      </w:r>
      <w:r>
        <w:tab/>
        <w:t xml:space="preserve">Schedule L </w:t>
      </w:r>
      <w:r w:rsidR="00DE7E55">
        <w:t xml:space="preserve">– </w:t>
      </w:r>
      <w:r>
        <w:t xml:space="preserve">Other Current or Fixed Assets </w:t>
      </w:r>
    </w:p>
    <w:p w:rsidR="00295122" w:rsidRDefault="00295122" w:rsidP="00DE7E55">
      <w:pPr>
        <w:widowControl w:val="0"/>
        <w:autoSpaceDE w:val="0"/>
        <w:autoSpaceDN w:val="0"/>
        <w:adjustRightInd w:val="0"/>
        <w:ind w:left="1440"/>
      </w:pPr>
      <w:r>
        <w:t xml:space="preserve">If an applicant lists other assets not described in this Part, they shall be described in sufficient detail to be considered.  Allowances for this category include, but are not limited to, the following: </w:t>
      </w:r>
    </w:p>
    <w:p w:rsidR="00295122" w:rsidRDefault="00295122" w:rsidP="00295122">
      <w:pPr>
        <w:widowControl w:val="0"/>
        <w:autoSpaceDE w:val="0"/>
        <w:autoSpaceDN w:val="0"/>
        <w:adjustRightInd w:val="0"/>
        <w:ind w:left="2880" w:hanging="720"/>
      </w:pPr>
    </w:p>
    <w:tbl>
      <w:tblPr>
        <w:tblW w:w="8550" w:type="dxa"/>
        <w:tblInd w:w="1134" w:type="dxa"/>
        <w:tblLook w:val="0000" w:firstRow="0" w:lastRow="0" w:firstColumn="0" w:lastColumn="0" w:noHBand="0" w:noVBand="0"/>
      </w:tblPr>
      <w:tblGrid>
        <w:gridCol w:w="741"/>
        <w:gridCol w:w="6498"/>
        <w:gridCol w:w="1311"/>
      </w:tblGrid>
      <w:tr w:rsidR="001347B1">
        <w:tblPrEx>
          <w:tblCellMar>
            <w:top w:w="0" w:type="dxa"/>
            <w:bottom w:w="0" w:type="dxa"/>
          </w:tblCellMar>
        </w:tblPrEx>
        <w:trPr>
          <w:trHeight w:val="468"/>
        </w:trPr>
        <w:tc>
          <w:tcPr>
            <w:tcW w:w="741" w:type="dxa"/>
          </w:tcPr>
          <w:p w:rsidR="001347B1" w:rsidRDefault="001347B1" w:rsidP="001347B1">
            <w:pPr>
              <w:widowControl w:val="0"/>
              <w:autoSpaceDE w:val="0"/>
              <w:autoSpaceDN w:val="0"/>
              <w:adjustRightInd w:val="0"/>
              <w:jc w:val="right"/>
            </w:pPr>
          </w:p>
        </w:tc>
        <w:tc>
          <w:tcPr>
            <w:tcW w:w="6498" w:type="dxa"/>
          </w:tcPr>
          <w:p w:rsidR="001347B1" w:rsidRDefault="001347B1" w:rsidP="001347B1">
            <w:pPr>
              <w:widowControl w:val="0"/>
              <w:autoSpaceDE w:val="0"/>
              <w:autoSpaceDN w:val="0"/>
              <w:adjustRightInd w:val="0"/>
              <w:ind w:left="348"/>
            </w:pPr>
          </w:p>
        </w:tc>
        <w:tc>
          <w:tcPr>
            <w:tcW w:w="1311" w:type="dxa"/>
          </w:tcPr>
          <w:p w:rsidR="001347B1" w:rsidRDefault="001347B1" w:rsidP="00EF7BC8">
            <w:pPr>
              <w:widowControl w:val="0"/>
              <w:autoSpaceDE w:val="0"/>
              <w:autoSpaceDN w:val="0"/>
              <w:adjustRightInd w:val="0"/>
              <w:jc w:val="center"/>
            </w:pPr>
            <w:r>
              <w:t>Discount</w:t>
            </w:r>
          </w:p>
        </w:tc>
      </w:tr>
      <w:tr w:rsidR="001347B1">
        <w:tblPrEx>
          <w:tblCellMar>
            <w:top w:w="0" w:type="dxa"/>
            <w:bottom w:w="0" w:type="dxa"/>
          </w:tblCellMar>
        </w:tblPrEx>
        <w:tc>
          <w:tcPr>
            <w:tcW w:w="741" w:type="dxa"/>
          </w:tcPr>
          <w:p w:rsidR="001347B1" w:rsidRDefault="001347B1" w:rsidP="001347B1">
            <w:pPr>
              <w:widowControl w:val="0"/>
              <w:autoSpaceDE w:val="0"/>
              <w:autoSpaceDN w:val="0"/>
              <w:adjustRightInd w:val="0"/>
              <w:jc w:val="right"/>
            </w:pPr>
            <w:r>
              <w:t>1)</w:t>
            </w:r>
          </w:p>
        </w:tc>
        <w:tc>
          <w:tcPr>
            <w:tcW w:w="6498" w:type="dxa"/>
          </w:tcPr>
          <w:p w:rsidR="001347B1" w:rsidRDefault="001347B1" w:rsidP="001347B1">
            <w:pPr>
              <w:widowControl w:val="0"/>
              <w:autoSpaceDE w:val="0"/>
              <w:autoSpaceDN w:val="0"/>
              <w:adjustRightInd w:val="0"/>
              <w:ind w:left="348"/>
            </w:pPr>
            <w:r>
              <w:t>Nonconstruction equipment (classify to equipment)</w:t>
            </w:r>
          </w:p>
        </w:tc>
        <w:tc>
          <w:tcPr>
            <w:tcW w:w="1311" w:type="dxa"/>
          </w:tcPr>
          <w:p w:rsidR="001347B1" w:rsidRDefault="001347B1" w:rsidP="00EF7BC8">
            <w:pPr>
              <w:widowControl w:val="0"/>
              <w:autoSpaceDE w:val="0"/>
              <w:autoSpaceDN w:val="0"/>
              <w:adjustRightInd w:val="0"/>
              <w:jc w:val="center"/>
            </w:pPr>
            <w:r>
              <w:t>0%</w:t>
            </w:r>
          </w:p>
        </w:tc>
      </w:tr>
      <w:tr w:rsidR="003B3522">
        <w:tblPrEx>
          <w:tblCellMar>
            <w:top w:w="0" w:type="dxa"/>
            <w:bottom w:w="0" w:type="dxa"/>
          </w:tblCellMar>
        </w:tblPrEx>
        <w:tc>
          <w:tcPr>
            <w:tcW w:w="741" w:type="dxa"/>
          </w:tcPr>
          <w:p w:rsidR="003B3522" w:rsidRDefault="003B3522" w:rsidP="001347B1">
            <w:pPr>
              <w:widowControl w:val="0"/>
              <w:autoSpaceDE w:val="0"/>
              <w:autoSpaceDN w:val="0"/>
              <w:adjustRightInd w:val="0"/>
              <w:jc w:val="right"/>
            </w:pPr>
          </w:p>
        </w:tc>
        <w:tc>
          <w:tcPr>
            <w:tcW w:w="6498" w:type="dxa"/>
          </w:tcPr>
          <w:p w:rsidR="003B3522" w:rsidRDefault="003B3522" w:rsidP="001347B1">
            <w:pPr>
              <w:widowControl w:val="0"/>
              <w:autoSpaceDE w:val="0"/>
              <w:autoSpaceDN w:val="0"/>
              <w:adjustRightInd w:val="0"/>
              <w:ind w:left="348"/>
            </w:pPr>
          </w:p>
        </w:tc>
        <w:tc>
          <w:tcPr>
            <w:tcW w:w="1311" w:type="dxa"/>
          </w:tcPr>
          <w:p w:rsidR="003B3522" w:rsidRDefault="003B3522" w:rsidP="00EF7BC8">
            <w:pPr>
              <w:widowControl w:val="0"/>
              <w:autoSpaceDE w:val="0"/>
              <w:autoSpaceDN w:val="0"/>
              <w:adjustRightInd w:val="0"/>
              <w:jc w:val="center"/>
            </w:pPr>
          </w:p>
        </w:tc>
      </w:tr>
      <w:tr w:rsidR="001347B1">
        <w:tblPrEx>
          <w:tblCellMar>
            <w:top w:w="0" w:type="dxa"/>
            <w:bottom w:w="0" w:type="dxa"/>
          </w:tblCellMar>
        </w:tblPrEx>
        <w:tc>
          <w:tcPr>
            <w:tcW w:w="741" w:type="dxa"/>
          </w:tcPr>
          <w:p w:rsidR="001347B1" w:rsidRDefault="001347B1" w:rsidP="001347B1">
            <w:pPr>
              <w:widowControl w:val="0"/>
              <w:autoSpaceDE w:val="0"/>
              <w:autoSpaceDN w:val="0"/>
              <w:adjustRightInd w:val="0"/>
              <w:jc w:val="right"/>
            </w:pPr>
            <w:r>
              <w:t>2)</w:t>
            </w:r>
          </w:p>
        </w:tc>
        <w:tc>
          <w:tcPr>
            <w:tcW w:w="6498" w:type="dxa"/>
          </w:tcPr>
          <w:p w:rsidR="001347B1" w:rsidRDefault="001347B1" w:rsidP="001347B1">
            <w:pPr>
              <w:widowControl w:val="0"/>
              <w:autoSpaceDE w:val="0"/>
              <w:autoSpaceDN w:val="0"/>
              <w:adjustRightInd w:val="0"/>
              <w:ind w:left="348"/>
            </w:pPr>
            <w:r>
              <w:t>Accrued interest and dividends with adequate detail</w:t>
            </w:r>
          </w:p>
        </w:tc>
        <w:tc>
          <w:tcPr>
            <w:tcW w:w="1311" w:type="dxa"/>
          </w:tcPr>
          <w:p w:rsidR="001347B1" w:rsidRDefault="001347B1" w:rsidP="00EF7BC8">
            <w:pPr>
              <w:widowControl w:val="0"/>
              <w:autoSpaceDE w:val="0"/>
              <w:autoSpaceDN w:val="0"/>
              <w:adjustRightInd w:val="0"/>
              <w:jc w:val="center"/>
            </w:pPr>
            <w:r>
              <w:t>10%</w:t>
            </w:r>
          </w:p>
        </w:tc>
      </w:tr>
      <w:tr w:rsidR="003B3522">
        <w:tblPrEx>
          <w:tblCellMar>
            <w:top w:w="0" w:type="dxa"/>
            <w:bottom w:w="0" w:type="dxa"/>
          </w:tblCellMar>
        </w:tblPrEx>
        <w:tc>
          <w:tcPr>
            <w:tcW w:w="741" w:type="dxa"/>
          </w:tcPr>
          <w:p w:rsidR="003B3522" w:rsidRDefault="003B3522" w:rsidP="001347B1">
            <w:pPr>
              <w:widowControl w:val="0"/>
              <w:autoSpaceDE w:val="0"/>
              <w:autoSpaceDN w:val="0"/>
              <w:adjustRightInd w:val="0"/>
              <w:jc w:val="right"/>
            </w:pPr>
          </w:p>
        </w:tc>
        <w:tc>
          <w:tcPr>
            <w:tcW w:w="6498" w:type="dxa"/>
          </w:tcPr>
          <w:p w:rsidR="003B3522" w:rsidRDefault="003B3522" w:rsidP="001347B1">
            <w:pPr>
              <w:widowControl w:val="0"/>
              <w:autoSpaceDE w:val="0"/>
              <w:autoSpaceDN w:val="0"/>
              <w:adjustRightInd w:val="0"/>
              <w:ind w:left="348"/>
            </w:pPr>
          </w:p>
        </w:tc>
        <w:tc>
          <w:tcPr>
            <w:tcW w:w="1311" w:type="dxa"/>
          </w:tcPr>
          <w:p w:rsidR="003B3522" w:rsidRDefault="003B3522" w:rsidP="00EF7BC8">
            <w:pPr>
              <w:widowControl w:val="0"/>
              <w:autoSpaceDE w:val="0"/>
              <w:autoSpaceDN w:val="0"/>
              <w:adjustRightInd w:val="0"/>
              <w:jc w:val="center"/>
            </w:pPr>
          </w:p>
        </w:tc>
      </w:tr>
      <w:tr w:rsidR="001347B1">
        <w:tblPrEx>
          <w:tblCellMar>
            <w:top w:w="0" w:type="dxa"/>
            <w:bottom w:w="0" w:type="dxa"/>
          </w:tblCellMar>
        </w:tblPrEx>
        <w:tc>
          <w:tcPr>
            <w:tcW w:w="741" w:type="dxa"/>
          </w:tcPr>
          <w:p w:rsidR="001347B1" w:rsidRDefault="001347B1" w:rsidP="001347B1">
            <w:pPr>
              <w:widowControl w:val="0"/>
              <w:autoSpaceDE w:val="0"/>
              <w:autoSpaceDN w:val="0"/>
              <w:adjustRightInd w:val="0"/>
              <w:jc w:val="right"/>
            </w:pPr>
            <w:r>
              <w:t>3)</w:t>
            </w:r>
          </w:p>
        </w:tc>
        <w:tc>
          <w:tcPr>
            <w:tcW w:w="6498" w:type="dxa"/>
          </w:tcPr>
          <w:p w:rsidR="001347B1" w:rsidRDefault="001347B1" w:rsidP="001347B1">
            <w:pPr>
              <w:widowControl w:val="0"/>
              <w:autoSpaceDE w:val="0"/>
              <w:autoSpaceDN w:val="0"/>
              <w:adjustRightInd w:val="0"/>
              <w:ind w:left="348"/>
            </w:pPr>
            <w:r>
              <w:t>Grain and livestock (classify to inventory)</w:t>
            </w:r>
          </w:p>
        </w:tc>
        <w:tc>
          <w:tcPr>
            <w:tcW w:w="1311" w:type="dxa"/>
          </w:tcPr>
          <w:p w:rsidR="001347B1" w:rsidRDefault="001347B1" w:rsidP="00EF7BC8">
            <w:pPr>
              <w:widowControl w:val="0"/>
              <w:autoSpaceDE w:val="0"/>
              <w:autoSpaceDN w:val="0"/>
              <w:adjustRightInd w:val="0"/>
              <w:jc w:val="center"/>
            </w:pPr>
            <w:r>
              <w:t>25%</w:t>
            </w:r>
          </w:p>
        </w:tc>
      </w:tr>
      <w:tr w:rsidR="003B3522">
        <w:tblPrEx>
          <w:tblCellMar>
            <w:top w:w="0" w:type="dxa"/>
            <w:bottom w:w="0" w:type="dxa"/>
          </w:tblCellMar>
        </w:tblPrEx>
        <w:tc>
          <w:tcPr>
            <w:tcW w:w="741" w:type="dxa"/>
          </w:tcPr>
          <w:p w:rsidR="003B3522" w:rsidRDefault="003B3522" w:rsidP="001347B1">
            <w:pPr>
              <w:widowControl w:val="0"/>
              <w:autoSpaceDE w:val="0"/>
              <w:autoSpaceDN w:val="0"/>
              <w:adjustRightInd w:val="0"/>
              <w:jc w:val="right"/>
            </w:pPr>
          </w:p>
        </w:tc>
        <w:tc>
          <w:tcPr>
            <w:tcW w:w="6498" w:type="dxa"/>
          </w:tcPr>
          <w:p w:rsidR="003B3522" w:rsidRDefault="003B3522" w:rsidP="001347B1">
            <w:pPr>
              <w:widowControl w:val="0"/>
              <w:autoSpaceDE w:val="0"/>
              <w:autoSpaceDN w:val="0"/>
              <w:adjustRightInd w:val="0"/>
              <w:ind w:left="348"/>
            </w:pPr>
          </w:p>
        </w:tc>
        <w:tc>
          <w:tcPr>
            <w:tcW w:w="1311" w:type="dxa"/>
          </w:tcPr>
          <w:p w:rsidR="003B3522" w:rsidRDefault="003B3522" w:rsidP="00EF7BC8">
            <w:pPr>
              <w:widowControl w:val="0"/>
              <w:autoSpaceDE w:val="0"/>
              <w:autoSpaceDN w:val="0"/>
              <w:adjustRightInd w:val="0"/>
              <w:jc w:val="center"/>
            </w:pPr>
          </w:p>
        </w:tc>
      </w:tr>
      <w:tr w:rsidR="001347B1">
        <w:tblPrEx>
          <w:tblCellMar>
            <w:top w:w="0" w:type="dxa"/>
            <w:bottom w:w="0" w:type="dxa"/>
          </w:tblCellMar>
        </w:tblPrEx>
        <w:tc>
          <w:tcPr>
            <w:tcW w:w="741" w:type="dxa"/>
          </w:tcPr>
          <w:p w:rsidR="001347B1" w:rsidRDefault="001347B1" w:rsidP="001347B1">
            <w:pPr>
              <w:widowControl w:val="0"/>
              <w:autoSpaceDE w:val="0"/>
              <w:autoSpaceDN w:val="0"/>
              <w:adjustRightInd w:val="0"/>
              <w:jc w:val="right"/>
            </w:pPr>
            <w:r>
              <w:t>4)</w:t>
            </w:r>
          </w:p>
        </w:tc>
        <w:tc>
          <w:tcPr>
            <w:tcW w:w="6498" w:type="dxa"/>
          </w:tcPr>
          <w:p w:rsidR="001347B1" w:rsidRDefault="001347B1" w:rsidP="001347B1">
            <w:pPr>
              <w:widowControl w:val="0"/>
              <w:autoSpaceDE w:val="0"/>
              <w:autoSpaceDN w:val="0"/>
              <w:adjustRightInd w:val="0"/>
              <w:ind w:left="348"/>
            </w:pPr>
            <w:r>
              <w:t>Interest and dividends from stockholders, officers, directors, employees, parent, subsidiaries and affiliates</w:t>
            </w:r>
          </w:p>
        </w:tc>
        <w:tc>
          <w:tcPr>
            <w:tcW w:w="1311" w:type="dxa"/>
            <w:vAlign w:val="bottom"/>
          </w:tcPr>
          <w:p w:rsidR="001347B1" w:rsidRDefault="001347B1" w:rsidP="00EF7BC8">
            <w:pPr>
              <w:widowControl w:val="0"/>
              <w:autoSpaceDE w:val="0"/>
              <w:autoSpaceDN w:val="0"/>
              <w:adjustRightInd w:val="0"/>
              <w:jc w:val="center"/>
            </w:pPr>
            <w:r>
              <w:t>100%</w:t>
            </w:r>
          </w:p>
        </w:tc>
      </w:tr>
      <w:tr w:rsidR="003B3522">
        <w:tblPrEx>
          <w:tblCellMar>
            <w:top w:w="0" w:type="dxa"/>
            <w:bottom w:w="0" w:type="dxa"/>
          </w:tblCellMar>
        </w:tblPrEx>
        <w:trPr>
          <w:trHeight w:val="288"/>
        </w:trPr>
        <w:tc>
          <w:tcPr>
            <w:tcW w:w="741" w:type="dxa"/>
          </w:tcPr>
          <w:p w:rsidR="003B3522" w:rsidRDefault="003B3522" w:rsidP="001347B1">
            <w:pPr>
              <w:widowControl w:val="0"/>
              <w:autoSpaceDE w:val="0"/>
              <w:autoSpaceDN w:val="0"/>
              <w:adjustRightInd w:val="0"/>
              <w:jc w:val="right"/>
            </w:pPr>
          </w:p>
        </w:tc>
        <w:tc>
          <w:tcPr>
            <w:tcW w:w="6498" w:type="dxa"/>
          </w:tcPr>
          <w:p w:rsidR="003B3522" w:rsidRDefault="003B3522" w:rsidP="001347B1">
            <w:pPr>
              <w:widowControl w:val="0"/>
              <w:autoSpaceDE w:val="0"/>
              <w:autoSpaceDN w:val="0"/>
              <w:adjustRightInd w:val="0"/>
              <w:ind w:left="348"/>
            </w:pPr>
          </w:p>
        </w:tc>
        <w:tc>
          <w:tcPr>
            <w:tcW w:w="1311" w:type="dxa"/>
          </w:tcPr>
          <w:p w:rsidR="003B3522" w:rsidRDefault="003B3522" w:rsidP="00EF7BC8">
            <w:pPr>
              <w:widowControl w:val="0"/>
              <w:autoSpaceDE w:val="0"/>
              <w:autoSpaceDN w:val="0"/>
              <w:adjustRightInd w:val="0"/>
              <w:jc w:val="center"/>
            </w:pPr>
          </w:p>
        </w:tc>
      </w:tr>
      <w:tr w:rsidR="001347B1">
        <w:tblPrEx>
          <w:tblCellMar>
            <w:top w:w="0" w:type="dxa"/>
            <w:bottom w:w="0" w:type="dxa"/>
          </w:tblCellMar>
        </w:tblPrEx>
        <w:trPr>
          <w:trHeight w:val="288"/>
        </w:trPr>
        <w:tc>
          <w:tcPr>
            <w:tcW w:w="741" w:type="dxa"/>
          </w:tcPr>
          <w:p w:rsidR="001347B1" w:rsidRDefault="001347B1" w:rsidP="001347B1">
            <w:pPr>
              <w:widowControl w:val="0"/>
              <w:autoSpaceDE w:val="0"/>
              <w:autoSpaceDN w:val="0"/>
              <w:adjustRightInd w:val="0"/>
              <w:jc w:val="right"/>
            </w:pPr>
            <w:r>
              <w:t>5)</w:t>
            </w:r>
          </w:p>
        </w:tc>
        <w:tc>
          <w:tcPr>
            <w:tcW w:w="6498" w:type="dxa"/>
          </w:tcPr>
          <w:p w:rsidR="001347B1" w:rsidRDefault="001347B1" w:rsidP="001347B1">
            <w:pPr>
              <w:widowControl w:val="0"/>
              <w:autoSpaceDE w:val="0"/>
              <w:autoSpaceDN w:val="0"/>
              <w:adjustRightInd w:val="0"/>
              <w:ind w:left="348"/>
            </w:pPr>
            <w:r>
              <w:t>Organization expense/good will</w:t>
            </w:r>
          </w:p>
        </w:tc>
        <w:tc>
          <w:tcPr>
            <w:tcW w:w="1311" w:type="dxa"/>
          </w:tcPr>
          <w:p w:rsidR="001347B1" w:rsidRDefault="001347B1" w:rsidP="00EF7BC8">
            <w:pPr>
              <w:widowControl w:val="0"/>
              <w:autoSpaceDE w:val="0"/>
              <w:autoSpaceDN w:val="0"/>
              <w:adjustRightInd w:val="0"/>
              <w:jc w:val="center"/>
            </w:pPr>
            <w:r>
              <w:t>100%</w:t>
            </w:r>
          </w:p>
        </w:tc>
      </w:tr>
      <w:tr w:rsidR="003B3522">
        <w:tblPrEx>
          <w:tblCellMar>
            <w:top w:w="0" w:type="dxa"/>
            <w:bottom w:w="0" w:type="dxa"/>
          </w:tblCellMar>
        </w:tblPrEx>
        <w:tc>
          <w:tcPr>
            <w:tcW w:w="741" w:type="dxa"/>
          </w:tcPr>
          <w:p w:rsidR="003B3522" w:rsidRDefault="003B3522" w:rsidP="001347B1">
            <w:pPr>
              <w:widowControl w:val="0"/>
              <w:autoSpaceDE w:val="0"/>
              <w:autoSpaceDN w:val="0"/>
              <w:adjustRightInd w:val="0"/>
              <w:jc w:val="right"/>
            </w:pPr>
          </w:p>
        </w:tc>
        <w:tc>
          <w:tcPr>
            <w:tcW w:w="6498" w:type="dxa"/>
          </w:tcPr>
          <w:p w:rsidR="003B3522" w:rsidRDefault="003B3522" w:rsidP="001347B1">
            <w:pPr>
              <w:widowControl w:val="0"/>
              <w:autoSpaceDE w:val="0"/>
              <w:autoSpaceDN w:val="0"/>
              <w:adjustRightInd w:val="0"/>
              <w:ind w:left="348"/>
            </w:pPr>
          </w:p>
        </w:tc>
        <w:tc>
          <w:tcPr>
            <w:tcW w:w="1311" w:type="dxa"/>
          </w:tcPr>
          <w:p w:rsidR="003B3522" w:rsidRDefault="003B3522" w:rsidP="00EF7BC8">
            <w:pPr>
              <w:widowControl w:val="0"/>
              <w:autoSpaceDE w:val="0"/>
              <w:autoSpaceDN w:val="0"/>
              <w:adjustRightInd w:val="0"/>
              <w:jc w:val="center"/>
            </w:pPr>
          </w:p>
        </w:tc>
      </w:tr>
      <w:tr w:rsidR="001347B1">
        <w:tblPrEx>
          <w:tblCellMar>
            <w:top w:w="0" w:type="dxa"/>
            <w:bottom w:w="0" w:type="dxa"/>
          </w:tblCellMar>
        </w:tblPrEx>
        <w:tc>
          <w:tcPr>
            <w:tcW w:w="741" w:type="dxa"/>
          </w:tcPr>
          <w:p w:rsidR="001347B1" w:rsidRDefault="001347B1" w:rsidP="001347B1">
            <w:pPr>
              <w:widowControl w:val="0"/>
              <w:autoSpaceDE w:val="0"/>
              <w:autoSpaceDN w:val="0"/>
              <w:adjustRightInd w:val="0"/>
              <w:jc w:val="right"/>
            </w:pPr>
            <w:r>
              <w:t>6)</w:t>
            </w:r>
          </w:p>
        </w:tc>
        <w:tc>
          <w:tcPr>
            <w:tcW w:w="6498" w:type="dxa"/>
          </w:tcPr>
          <w:p w:rsidR="001347B1" w:rsidRDefault="001347B1" w:rsidP="001347B1">
            <w:pPr>
              <w:widowControl w:val="0"/>
              <w:autoSpaceDE w:val="0"/>
              <w:autoSpaceDN w:val="0"/>
              <w:adjustRightInd w:val="0"/>
              <w:ind w:left="348"/>
            </w:pPr>
            <w:r>
              <w:t>Investment credit</w:t>
            </w:r>
          </w:p>
        </w:tc>
        <w:tc>
          <w:tcPr>
            <w:tcW w:w="1311" w:type="dxa"/>
          </w:tcPr>
          <w:p w:rsidR="001347B1" w:rsidRDefault="001347B1" w:rsidP="00EF7BC8">
            <w:pPr>
              <w:widowControl w:val="0"/>
              <w:autoSpaceDE w:val="0"/>
              <w:autoSpaceDN w:val="0"/>
              <w:adjustRightInd w:val="0"/>
              <w:jc w:val="center"/>
            </w:pPr>
            <w:r>
              <w:t>100%</w:t>
            </w:r>
          </w:p>
        </w:tc>
      </w:tr>
    </w:tbl>
    <w:p w:rsidR="00295122" w:rsidRPr="00A10653" w:rsidRDefault="00295122" w:rsidP="00A10653">
      <w:pPr>
        <w:ind w:left="720"/>
      </w:pPr>
    </w:p>
    <w:p w:rsidR="006138A0" w:rsidRPr="00A10653" w:rsidRDefault="006138A0" w:rsidP="00A10653">
      <w:pPr>
        <w:ind w:left="720"/>
      </w:pPr>
      <w:r w:rsidRPr="00A10653">
        <w:t xml:space="preserve">(Source:  Amended at 30 Ill. Reg. </w:t>
      </w:r>
      <w:r w:rsidR="00C35850">
        <w:t>16373</w:t>
      </w:r>
      <w:r w:rsidRPr="00A10653">
        <w:t xml:space="preserve">, effective </w:t>
      </w:r>
      <w:r w:rsidR="00C35850">
        <w:t>October 10, 2006</w:t>
      </w:r>
      <w:r w:rsidRPr="00A10653">
        <w:t>)</w:t>
      </w:r>
    </w:p>
    <w:sectPr w:rsidR="006138A0" w:rsidRPr="00A10653" w:rsidSect="00295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122"/>
    <w:rsid w:val="001061AC"/>
    <w:rsid w:val="00117ADB"/>
    <w:rsid w:val="001347B1"/>
    <w:rsid w:val="00144AF5"/>
    <w:rsid w:val="002153FB"/>
    <w:rsid w:val="00223833"/>
    <w:rsid w:val="00295122"/>
    <w:rsid w:val="002E4ABF"/>
    <w:rsid w:val="00342430"/>
    <w:rsid w:val="003833F3"/>
    <w:rsid w:val="003851E7"/>
    <w:rsid w:val="003B3522"/>
    <w:rsid w:val="003D3648"/>
    <w:rsid w:val="004F20E8"/>
    <w:rsid w:val="005862CD"/>
    <w:rsid w:val="005938AF"/>
    <w:rsid w:val="005C3366"/>
    <w:rsid w:val="005F2E29"/>
    <w:rsid w:val="006138A0"/>
    <w:rsid w:val="00661A55"/>
    <w:rsid w:val="00892758"/>
    <w:rsid w:val="00A10653"/>
    <w:rsid w:val="00A6531D"/>
    <w:rsid w:val="00A7399A"/>
    <w:rsid w:val="00C35850"/>
    <w:rsid w:val="00D30BB6"/>
    <w:rsid w:val="00D3562B"/>
    <w:rsid w:val="00DE7E55"/>
    <w:rsid w:val="00EF7BC8"/>
    <w:rsid w:val="00FD574D"/>
    <w:rsid w:val="00FE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47B1"/>
    <w:rPr>
      <w:rFonts w:ascii="Tahoma" w:hAnsi="Tahoma" w:cs="Tahoma"/>
      <w:sz w:val="16"/>
      <w:szCs w:val="16"/>
    </w:rPr>
  </w:style>
  <w:style w:type="paragraph" w:customStyle="1" w:styleId="JCARSourceNote">
    <w:name w:val="JCAR Source Note"/>
    <w:basedOn w:val="Normal"/>
    <w:rsid w:val="00613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47B1"/>
    <w:rPr>
      <w:rFonts w:ascii="Tahoma" w:hAnsi="Tahoma" w:cs="Tahoma"/>
      <w:sz w:val="16"/>
      <w:szCs w:val="16"/>
    </w:rPr>
  </w:style>
  <w:style w:type="paragraph" w:customStyle="1" w:styleId="JCARSourceNote">
    <w:name w:val="JCAR Source Note"/>
    <w:basedOn w:val="Normal"/>
    <w:rsid w:val="0061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cp:lastPrinted>2008-11-03T15:28:00Z</cp:lastPrinted>
  <dcterms:created xsi:type="dcterms:W3CDTF">2012-06-22T00:13:00Z</dcterms:created>
  <dcterms:modified xsi:type="dcterms:W3CDTF">2012-06-22T00:13:00Z</dcterms:modified>
</cp:coreProperties>
</file>