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81" w:rsidRDefault="00D27A81" w:rsidP="00D27A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7A81" w:rsidRDefault="00D27A81" w:rsidP="00D27A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610.510  Scope</w:t>
      </w:r>
      <w:r>
        <w:t xml:space="preserve"> </w:t>
      </w:r>
    </w:p>
    <w:p w:rsidR="00D27A81" w:rsidRDefault="00D27A81" w:rsidP="00D27A81">
      <w:pPr>
        <w:widowControl w:val="0"/>
        <w:autoSpaceDE w:val="0"/>
        <w:autoSpaceDN w:val="0"/>
        <w:adjustRightInd w:val="0"/>
      </w:pPr>
    </w:p>
    <w:p w:rsidR="00D27A81" w:rsidRDefault="00D27A81" w:rsidP="00D27A81">
      <w:pPr>
        <w:widowControl w:val="0"/>
        <w:autoSpaceDE w:val="0"/>
        <w:autoSpaceDN w:val="0"/>
        <w:adjustRightInd w:val="0"/>
      </w:pPr>
      <w:r>
        <w:t xml:space="preserve">The sale of abandoned equipment to interested parties may be by private sale, if less than $2500 per individual item of production equipment, or by bid if over $2500 per individual item of production equipment. </w:t>
      </w:r>
    </w:p>
    <w:p w:rsidR="00D27A81" w:rsidRDefault="00D27A81" w:rsidP="00D27A81">
      <w:pPr>
        <w:widowControl w:val="0"/>
        <w:autoSpaceDE w:val="0"/>
        <w:autoSpaceDN w:val="0"/>
        <w:adjustRightInd w:val="0"/>
      </w:pPr>
    </w:p>
    <w:p w:rsidR="00D27A81" w:rsidRDefault="00D27A81" w:rsidP="00D27A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3421, effective March 8, 1999) </w:t>
      </w:r>
    </w:p>
    <w:sectPr w:rsidR="00D27A81" w:rsidSect="00D27A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A81"/>
    <w:rsid w:val="0031571D"/>
    <w:rsid w:val="005C3366"/>
    <w:rsid w:val="006736F7"/>
    <w:rsid w:val="00B36037"/>
    <w:rsid w:val="00D2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