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CC" w:rsidRDefault="002B2ECC" w:rsidP="002B2ECC">
      <w:pPr>
        <w:widowControl w:val="0"/>
        <w:autoSpaceDE w:val="0"/>
        <w:autoSpaceDN w:val="0"/>
        <w:adjustRightInd w:val="0"/>
      </w:pPr>
      <w:bookmarkStart w:id="0" w:name="_GoBack"/>
      <w:bookmarkEnd w:id="0"/>
    </w:p>
    <w:p w:rsidR="002B2ECC" w:rsidRDefault="002B2ECC" w:rsidP="002B2ECC">
      <w:pPr>
        <w:widowControl w:val="0"/>
        <w:autoSpaceDE w:val="0"/>
        <w:autoSpaceDN w:val="0"/>
        <w:adjustRightInd w:val="0"/>
      </w:pPr>
      <w:r>
        <w:rPr>
          <w:b/>
          <w:bCs/>
        </w:rPr>
        <w:t>Section 610.430  Contracts and Salvage Estimates</w:t>
      </w:r>
      <w:r>
        <w:t xml:space="preserve"> </w:t>
      </w:r>
    </w:p>
    <w:p w:rsidR="002B2ECC" w:rsidRDefault="002B2ECC" w:rsidP="002B2ECC">
      <w:pPr>
        <w:widowControl w:val="0"/>
        <w:autoSpaceDE w:val="0"/>
        <w:autoSpaceDN w:val="0"/>
        <w:adjustRightInd w:val="0"/>
      </w:pPr>
    </w:p>
    <w:p w:rsidR="002B2ECC" w:rsidRDefault="002B2ECC" w:rsidP="002B2ECC">
      <w:pPr>
        <w:widowControl w:val="0"/>
        <w:autoSpaceDE w:val="0"/>
        <w:autoSpaceDN w:val="0"/>
        <w:adjustRightInd w:val="0"/>
        <w:ind w:left="1440" w:hanging="720"/>
      </w:pPr>
      <w:r>
        <w:t>a)</w:t>
      </w:r>
      <w:r>
        <w:tab/>
        <w:t xml:space="preserve">Based on the nature of the Salvage Plugging or Restoration Project, the information available regarding the wells to be plugged or well site equipment to be removed, the estimated value of the salvage production equipment, and all other relevant criteria, the Department may enter into a no cost contract to plug a well or group of wells on a lease or part of a unit on the basis of the total cost to plug the well or wells or to remove the well site equipment and clean up the well site to be offset by the value of the salvage production equipment.  The Department will transfer control of the abandoned salvage equipment at the time a contract is signed. </w:t>
      </w:r>
    </w:p>
    <w:p w:rsidR="006D51CC" w:rsidRDefault="006D51CC" w:rsidP="002B2ECC">
      <w:pPr>
        <w:widowControl w:val="0"/>
        <w:autoSpaceDE w:val="0"/>
        <w:autoSpaceDN w:val="0"/>
        <w:adjustRightInd w:val="0"/>
        <w:ind w:left="1440" w:hanging="720"/>
      </w:pPr>
    </w:p>
    <w:p w:rsidR="00092F97" w:rsidRDefault="002B2ECC" w:rsidP="002B2ECC">
      <w:pPr>
        <w:widowControl w:val="0"/>
        <w:autoSpaceDE w:val="0"/>
        <w:autoSpaceDN w:val="0"/>
        <w:adjustRightInd w:val="0"/>
        <w:ind w:left="1440" w:hanging="720"/>
      </w:pPr>
      <w:r>
        <w:t>b)</w:t>
      </w:r>
      <w:r>
        <w:tab/>
        <w:t>The estimated salvage value of the well site equipment shall be determined by the Department but shall not be less than the following:</w:t>
      </w:r>
    </w:p>
    <w:p w:rsidR="00092F97" w:rsidRDefault="00092F97" w:rsidP="002B2ECC">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600"/>
        <w:gridCol w:w="3537"/>
        <w:gridCol w:w="3906"/>
      </w:tblGrid>
      <w:tr w:rsidR="00092F97" w:rsidTr="00092F97">
        <w:tblPrEx>
          <w:tblCellMar>
            <w:top w:w="0" w:type="dxa"/>
            <w:bottom w:w="0" w:type="dxa"/>
          </w:tblCellMar>
        </w:tblPrEx>
        <w:tc>
          <w:tcPr>
            <w:tcW w:w="600" w:type="dxa"/>
          </w:tcPr>
          <w:p w:rsidR="00092F97" w:rsidRDefault="00092F97" w:rsidP="002B2ECC">
            <w:pPr>
              <w:widowControl w:val="0"/>
              <w:autoSpaceDE w:val="0"/>
              <w:autoSpaceDN w:val="0"/>
              <w:adjustRightInd w:val="0"/>
            </w:pPr>
            <w:r>
              <w:t>1)</w:t>
            </w:r>
          </w:p>
        </w:tc>
        <w:tc>
          <w:tcPr>
            <w:tcW w:w="3537" w:type="dxa"/>
            <w:shd w:val="clear" w:color="auto" w:fill="auto"/>
          </w:tcPr>
          <w:p w:rsidR="00092F97" w:rsidRDefault="00092F97" w:rsidP="002B2ECC">
            <w:pPr>
              <w:widowControl w:val="0"/>
              <w:autoSpaceDE w:val="0"/>
              <w:autoSpaceDN w:val="0"/>
              <w:adjustRightInd w:val="0"/>
            </w:pPr>
            <w:r>
              <w:t>Pumping unit</w:t>
            </w:r>
          </w:p>
        </w:tc>
        <w:tc>
          <w:tcPr>
            <w:tcW w:w="3906" w:type="dxa"/>
            <w:shd w:val="clear" w:color="auto" w:fill="auto"/>
          </w:tcPr>
          <w:p w:rsidR="00092F97" w:rsidRDefault="00092F97" w:rsidP="002B2ECC">
            <w:pPr>
              <w:widowControl w:val="0"/>
              <w:autoSpaceDE w:val="0"/>
              <w:autoSpaceDN w:val="0"/>
              <w:adjustRightInd w:val="0"/>
            </w:pPr>
            <w:r>
              <w:t>$100 each</w:t>
            </w:r>
          </w:p>
        </w:tc>
      </w:tr>
      <w:tr w:rsidR="00092F97" w:rsidTr="00092F97">
        <w:tblPrEx>
          <w:tblCellMar>
            <w:top w:w="0" w:type="dxa"/>
            <w:bottom w:w="0" w:type="dxa"/>
          </w:tblCellMar>
        </w:tblPrEx>
        <w:tc>
          <w:tcPr>
            <w:tcW w:w="600" w:type="dxa"/>
          </w:tcPr>
          <w:p w:rsidR="00092F97" w:rsidRDefault="00092F97" w:rsidP="002B2ECC">
            <w:pPr>
              <w:widowControl w:val="0"/>
              <w:autoSpaceDE w:val="0"/>
              <w:autoSpaceDN w:val="0"/>
              <w:adjustRightInd w:val="0"/>
            </w:pPr>
            <w:r>
              <w:t>2)</w:t>
            </w:r>
          </w:p>
        </w:tc>
        <w:tc>
          <w:tcPr>
            <w:tcW w:w="3537" w:type="dxa"/>
            <w:shd w:val="clear" w:color="auto" w:fill="auto"/>
          </w:tcPr>
          <w:p w:rsidR="00092F97" w:rsidRDefault="00092F97" w:rsidP="002B2ECC">
            <w:pPr>
              <w:widowControl w:val="0"/>
              <w:autoSpaceDE w:val="0"/>
              <w:autoSpaceDN w:val="0"/>
              <w:adjustRightInd w:val="0"/>
            </w:pPr>
            <w:r>
              <w:t>Steel tank</w:t>
            </w:r>
          </w:p>
        </w:tc>
        <w:tc>
          <w:tcPr>
            <w:tcW w:w="3906" w:type="dxa"/>
            <w:shd w:val="clear" w:color="auto" w:fill="auto"/>
          </w:tcPr>
          <w:p w:rsidR="00092F97" w:rsidRDefault="00092F97" w:rsidP="002B2ECC">
            <w:pPr>
              <w:widowControl w:val="0"/>
              <w:autoSpaceDE w:val="0"/>
              <w:autoSpaceDN w:val="0"/>
              <w:adjustRightInd w:val="0"/>
            </w:pPr>
            <w:r>
              <w:t>$75 each</w:t>
            </w:r>
          </w:p>
        </w:tc>
      </w:tr>
      <w:tr w:rsidR="00092F97" w:rsidTr="00092F97">
        <w:tblPrEx>
          <w:tblCellMar>
            <w:top w:w="0" w:type="dxa"/>
            <w:bottom w:w="0" w:type="dxa"/>
          </w:tblCellMar>
        </w:tblPrEx>
        <w:tc>
          <w:tcPr>
            <w:tcW w:w="600" w:type="dxa"/>
          </w:tcPr>
          <w:p w:rsidR="00092F97" w:rsidRDefault="00092F97" w:rsidP="002B2ECC">
            <w:pPr>
              <w:widowControl w:val="0"/>
              <w:autoSpaceDE w:val="0"/>
              <w:autoSpaceDN w:val="0"/>
              <w:adjustRightInd w:val="0"/>
            </w:pPr>
            <w:r>
              <w:t>3)</w:t>
            </w:r>
          </w:p>
        </w:tc>
        <w:tc>
          <w:tcPr>
            <w:tcW w:w="3537" w:type="dxa"/>
            <w:shd w:val="clear" w:color="auto" w:fill="auto"/>
          </w:tcPr>
          <w:p w:rsidR="00092F97" w:rsidRDefault="00092F97" w:rsidP="002B2ECC">
            <w:pPr>
              <w:widowControl w:val="0"/>
              <w:autoSpaceDE w:val="0"/>
              <w:autoSpaceDN w:val="0"/>
              <w:adjustRightInd w:val="0"/>
            </w:pPr>
            <w:r>
              <w:t>Fiberglass</w:t>
            </w:r>
          </w:p>
        </w:tc>
        <w:tc>
          <w:tcPr>
            <w:tcW w:w="3906" w:type="dxa"/>
            <w:shd w:val="clear" w:color="auto" w:fill="auto"/>
          </w:tcPr>
          <w:p w:rsidR="00092F97" w:rsidRDefault="00092F97" w:rsidP="002B2ECC">
            <w:pPr>
              <w:widowControl w:val="0"/>
              <w:autoSpaceDE w:val="0"/>
              <w:autoSpaceDN w:val="0"/>
              <w:adjustRightInd w:val="0"/>
            </w:pPr>
            <w:r>
              <w:t>$100 each</w:t>
            </w:r>
          </w:p>
        </w:tc>
      </w:tr>
      <w:tr w:rsidR="00092F97" w:rsidTr="00092F97">
        <w:tblPrEx>
          <w:tblCellMar>
            <w:top w:w="0" w:type="dxa"/>
            <w:bottom w:w="0" w:type="dxa"/>
          </w:tblCellMar>
        </w:tblPrEx>
        <w:tc>
          <w:tcPr>
            <w:tcW w:w="600" w:type="dxa"/>
          </w:tcPr>
          <w:p w:rsidR="00092F97" w:rsidRDefault="00092F97" w:rsidP="002B2ECC">
            <w:pPr>
              <w:widowControl w:val="0"/>
              <w:autoSpaceDE w:val="0"/>
              <w:autoSpaceDN w:val="0"/>
              <w:adjustRightInd w:val="0"/>
            </w:pPr>
            <w:r>
              <w:t>4)</w:t>
            </w:r>
          </w:p>
        </w:tc>
        <w:tc>
          <w:tcPr>
            <w:tcW w:w="3537" w:type="dxa"/>
            <w:shd w:val="clear" w:color="auto" w:fill="auto"/>
          </w:tcPr>
          <w:p w:rsidR="00092F97" w:rsidRDefault="00092F97" w:rsidP="002B2ECC">
            <w:pPr>
              <w:widowControl w:val="0"/>
              <w:autoSpaceDE w:val="0"/>
              <w:autoSpaceDN w:val="0"/>
              <w:adjustRightInd w:val="0"/>
            </w:pPr>
            <w:proofErr w:type="spellStart"/>
            <w:r>
              <w:t>Gunbarrel</w:t>
            </w:r>
            <w:proofErr w:type="spellEnd"/>
          </w:p>
        </w:tc>
        <w:tc>
          <w:tcPr>
            <w:tcW w:w="3906" w:type="dxa"/>
            <w:shd w:val="clear" w:color="auto" w:fill="auto"/>
          </w:tcPr>
          <w:p w:rsidR="00092F97" w:rsidRDefault="00092F97" w:rsidP="002B2ECC">
            <w:pPr>
              <w:widowControl w:val="0"/>
              <w:autoSpaceDE w:val="0"/>
              <w:autoSpaceDN w:val="0"/>
              <w:adjustRightInd w:val="0"/>
            </w:pPr>
            <w:r>
              <w:t>$50 each</w:t>
            </w:r>
          </w:p>
        </w:tc>
      </w:tr>
      <w:tr w:rsidR="00092F97" w:rsidTr="00092F97">
        <w:tblPrEx>
          <w:tblCellMar>
            <w:top w:w="0" w:type="dxa"/>
            <w:bottom w:w="0" w:type="dxa"/>
          </w:tblCellMar>
        </w:tblPrEx>
        <w:tc>
          <w:tcPr>
            <w:tcW w:w="600" w:type="dxa"/>
          </w:tcPr>
          <w:p w:rsidR="00092F97" w:rsidRDefault="00092F97" w:rsidP="002B2ECC">
            <w:pPr>
              <w:widowControl w:val="0"/>
              <w:autoSpaceDE w:val="0"/>
              <w:autoSpaceDN w:val="0"/>
              <w:adjustRightInd w:val="0"/>
            </w:pPr>
            <w:r>
              <w:t>5)</w:t>
            </w:r>
          </w:p>
        </w:tc>
        <w:tc>
          <w:tcPr>
            <w:tcW w:w="3537" w:type="dxa"/>
            <w:shd w:val="clear" w:color="auto" w:fill="auto"/>
          </w:tcPr>
          <w:p w:rsidR="00092F97" w:rsidRDefault="00092F97" w:rsidP="002B2ECC">
            <w:pPr>
              <w:widowControl w:val="0"/>
              <w:autoSpaceDE w:val="0"/>
              <w:autoSpaceDN w:val="0"/>
              <w:adjustRightInd w:val="0"/>
            </w:pPr>
            <w:r>
              <w:t xml:space="preserve">Heater </w:t>
            </w:r>
            <w:proofErr w:type="spellStart"/>
            <w:r>
              <w:t>treater</w:t>
            </w:r>
            <w:proofErr w:type="spellEnd"/>
          </w:p>
        </w:tc>
        <w:tc>
          <w:tcPr>
            <w:tcW w:w="3906" w:type="dxa"/>
            <w:shd w:val="clear" w:color="auto" w:fill="auto"/>
          </w:tcPr>
          <w:p w:rsidR="00092F97" w:rsidRDefault="00092F97" w:rsidP="002B2ECC">
            <w:pPr>
              <w:widowControl w:val="0"/>
              <w:autoSpaceDE w:val="0"/>
              <w:autoSpaceDN w:val="0"/>
              <w:adjustRightInd w:val="0"/>
            </w:pPr>
            <w:r>
              <w:t>$75 each</w:t>
            </w:r>
          </w:p>
        </w:tc>
      </w:tr>
      <w:tr w:rsidR="00092F97" w:rsidTr="00092F97">
        <w:tblPrEx>
          <w:tblCellMar>
            <w:top w:w="0" w:type="dxa"/>
            <w:bottom w:w="0" w:type="dxa"/>
          </w:tblCellMar>
        </w:tblPrEx>
        <w:tc>
          <w:tcPr>
            <w:tcW w:w="600" w:type="dxa"/>
          </w:tcPr>
          <w:p w:rsidR="00092F97" w:rsidRDefault="00092F97" w:rsidP="002B2ECC">
            <w:pPr>
              <w:widowControl w:val="0"/>
              <w:autoSpaceDE w:val="0"/>
              <w:autoSpaceDN w:val="0"/>
              <w:adjustRightInd w:val="0"/>
            </w:pPr>
            <w:r>
              <w:t>6)</w:t>
            </w:r>
          </w:p>
        </w:tc>
        <w:tc>
          <w:tcPr>
            <w:tcW w:w="3537" w:type="dxa"/>
            <w:shd w:val="clear" w:color="auto" w:fill="auto"/>
          </w:tcPr>
          <w:p w:rsidR="00092F97" w:rsidRDefault="00092F97" w:rsidP="002B2ECC">
            <w:pPr>
              <w:widowControl w:val="0"/>
              <w:autoSpaceDE w:val="0"/>
              <w:autoSpaceDN w:val="0"/>
              <w:adjustRightInd w:val="0"/>
            </w:pPr>
            <w:r>
              <w:t>Injection pump</w:t>
            </w:r>
          </w:p>
        </w:tc>
        <w:tc>
          <w:tcPr>
            <w:tcW w:w="3906" w:type="dxa"/>
            <w:shd w:val="clear" w:color="auto" w:fill="auto"/>
          </w:tcPr>
          <w:p w:rsidR="00092F97" w:rsidRDefault="00092F97" w:rsidP="002B2ECC">
            <w:pPr>
              <w:widowControl w:val="0"/>
              <w:autoSpaceDE w:val="0"/>
              <w:autoSpaceDN w:val="0"/>
              <w:adjustRightInd w:val="0"/>
            </w:pPr>
            <w:r>
              <w:t>$100 each</w:t>
            </w:r>
          </w:p>
        </w:tc>
      </w:tr>
      <w:tr w:rsidR="00092F97" w:rsidTr="00092F97">
        <w:tblPrEx>
          <w:tblCellMar>
            <w:top w:w="0" w:type="dxa"/>
            <w:bottom w:w="0" w:type="dxa"/>
          </w:tblCellMar>
        </w:tblPrEx>
        <w:tc>
          <w:tcPr>
            <w:tcW w:w="600" w:type="dxa"/>
          </w:tcPr>
          <w:p w:rsidR="00092F97" w:rsidRDefault="00092F97" w:rsidP="002B2ECC">
            <w:pPr>
              <w:widowControl w:val="0"/>
              <w:autoSpaceDE w:val="0"/>
              <w:autoSpaceDN w:val="0"/>
              <w:adjustRightInd w:val="0"/>
            </w:pPr>
            <w:r>
              <w:t>7)</w:t>
            </w:r>
          </w:p>
        </w:tc>
        <w:tc>
          <w:tcPr>
            <w:tcW w:w="3537" w:type="dxa"/>
            <w:shd w:val="clear" w:color="auto" w:fill="auto"/>
          </w:tcPr>
          <w:p w:rsidR="00092F97" w:rsidRDefault="00092F97" w:rsidP="002B2ECC">
            <w:pPr>
              <w:widowControl w:val="0"/>
              <w:autoSpaceDE w:val="0"/>
              <w:autoSpaceDN w:val="0"/>
              <w:adjustRightInd w:val="0"/>
            </w:pPr>
            <w:r>
              <w:t>Reusable shed/outbuildings</w:t>
            </w:r>
          </w:p>
        </w:tc>
        <w:tc>
          <w:tcPr>
            <w:tcW w:w="3906" w:type="dxa"/>
            <w:shd w:val="clear" w:color="auto" w:fill="auto"/>
          </w:tcPr>
          <w:p w:rsidR="00092F97" w:rsidRDefault="00092F97" w:rsidP="002B2ECC">
            <w:pPr>
              <w:widowControl w:val="0"/>
              <w:autoSpaceDE w:val="0"/>
              <w:autoSpaceDN w:val="0"/>
              <w:adjustRightInd w:val="0"/>
            </w:pPr>
            <w:r>
              <w:t>$1 per square foot</w:t>
            </w:r>
          </w:p>
        </w:tc>
      </w:tr>
      <w:tr w:rsidR="00092F97" w:rsidTr="00092F97">
        <w:tblPrEx>
          <w:tblCellMar>
            <w:top w:w="0" w:type="dxa"/>
            <w:bottom w:w="0" w:type="dxa"/>
          </w:tblCellMar>
        </w:tblPrEx>
        <w:tc>
          <w:tcPr>
            <w:tcW w:w="600" w:type="dxa"/>
          </w:tcPr>
          <w:p w:rsidR="00092F97" w:rsidRDefault="00092F97" w:rsidP="002B2ECC">
            <w:pPr>
              <w:widowControl w:val="0"/>
              <w:autoSpaceDE w:val="0"/>
              <w:autoSpaceDN w:val="0"/>
              <w:adjustRightInd w:val="0"/>
            </w:pPr>
            <w:r>
              <w:t>8)</w:t>
            </w:r>
          </w:p>
        </w:tc>
        <w:tc>
          <w:tcPr>
            <w:tcW w:w="7443" w:type="dxa"/>
            <w:gridSpan w:val="2"/>
            <w:shd w:val="clear" w:color="auto" w:fill="auto"/>
          </w:tcPr>
          <w:p w:rsidR="00092F97" w:rsidRDefault="00092F97" w:rsidP="002B2ECC">
            <w:pPr>
              <w:widowControl w:val="0"/>
              <w:autoSpaceDE w:val="0"/>
              <w:autoSpaceDN w:val="0"/>
              <w:adjustRightInd w:val="0"/>
            </w:pPr>
            <w:r>
              <w:t>Salable hydrocarbons per barrel price at time of sale</w:t>
            </w:r>
          </w:p>
        </w:tc>
      </w:tr>
    </w:tbl>
    <w:p w:rsidR="002B2ECC" w:rsidRDefault="002B2ECC" w:rsidP="002B2ECC">
      <w:pPr>
        <w:widowControl w:val="0"/>
        <w:autoSpaceDE w:val="0"/>
        <w:autoSpaceDN w:val="0"/>
        <w:adjustRightInd w:val="0"/>
      </w:pPr>
    </w:p>
    <w:p w:rsidR="002B2ECC" w:rsidRDefault="002B2ECC" w:rsidP="002B2ECC">
      <w:pPr>
        <w:widowControl w:val="0"/>
        <w:autoSpaceDE w:val="0"/>
        <w:autoSpaceDN w:val="0"/>
        <w:adjustRightInd w:val="0"/>
        <w:ind w:left="1440" w:hanging="720"/>
      </w:pPr>
      <w:r>
        <w:t xml:space="preserve">(Source:  Added at 23 Ill. Reg. 3421, effective March 8, 1999) </w:t>
      </w:r>
    </w:p>
    <w:sectPr w:rsidR="002B2ECC" w:rsidSect="002B2E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2ECC"/>
    <w:rsid w:val="00092F97"/>
    <w:rsid w:val="002B2ECC"/>
    <w:rsid w:val="005C3366"/>
    <w:rsid w:val="006C1F36"/>
    <w:rsid w:val="006D51CC"/>
    <w:rsid w:val="00716F34"/>
    <w:rsid w:val="00CD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