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CE" w:rsidRDefault="00267010" w:rsidP="002670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</w:t>
      </w:r>
      <w:r w:rsidR="009269CE">
        <w:t>TER III:  BOARD OF GOVERNORS OF</w:t>
      </w:r>
    </w:p>
    <w:p w:rsidR="00267010" w:rsidRDefault="00267010" w:rsidP="00267010">
      <w:pPr>
        <w:widowControl w:val="0"/>
        <w:autoSpaceDE w:val="0"/>
        <w:autoSpaceDN w:val="0"/>
        <w:adjustRightInd w:val="0"/>
        <w:jc w:val="center"/>
      </w:pPr>
      <w:r>
        <w:t>STATE COLLEGES</w:t>
      </w:r>
      <w:r w:rsidR="009269CE">
        <w:t xml:space="preserve"> </w:t>
      </w:r>
      <w:r>
        <w:t>AND UNIVERSITIES</w:t>
      </w:r>
    </w:p>
    <w:sectPr w:rsidR="00267010" w:rsidSect="002670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010"/>
    <w:rsid w:val="00267010"/>
    <w:rsid w:val="004B0C32"/>
    <w:rsid w:val="005C3366"/>
    <w:rsid w:val="008278CC"/>
    <w:rsid w:val="009269CE"/>
    <w:rsid w:val="00D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BOARD OF GOVERNORS OF STATE COLLEGES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BOARD OF GOVERNORS OF STATE COLLEGES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