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12" w:rsidRDefault="00B85212" w:rsidP="00B85212">
      <w:pPr>
        <w:widowControl w:val="0"/>
        <w:autoSpaceDE w:val="0"/>
        <w:autoSpaceDN w:val="0"/>
        <w:adjustRightInd w:val="0"/>
      </w:pPr>
    </w:p>
    <w:p w:rsidR="00B85212" w:rsidRDefault="00B85212" w:rsidP="00B852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8.8025 Sources for Determining Responsibility</w:t>
      </w:r>
    </w:p>
    <w:p w:rsidR="00B85212" w:rsidRDefault="00B85212" w:rsidP="00B85212">
      <w:pPr>
        <w:widowControl w:val="0"/>
        <w:autoSpaceDE w:val="0"/>
        <w:autoSpaceDN w:val="0"/>
        <w:adjustRightInd w:val="0"/>
      </w:pPr>
    </w:p>
    <w:p w:rsidR="00B85212" w:rsidRDefault="00B85212" w:rsidP="00B85212">
      <w:pPr>
        <w:widowControl w:val="0"/>
        <w:autoSpaceDE w:val="0"/>
        <w:autoSpaceDN w:val="0"/>
        <w:adjustRightInd w:val="0"/>
      </w:pPr>
      <w:r>
        <w:t>As part of the prequalification process, CDB will make a responsibility determination in accordance with the standards of responsibility specified in Section 8.2046.  CDB may utilize information obtained from one or more of the sources</w:t>
      </w:r>
      <w:r w:rsidR="000B122D">
        <w:t xml:space="preserve"> listed in this Section</w:t>
      </w:r>
      <w:r>
        <w:t>.  In evaluating the information, greater consideration shall be given to the most recent projects and projects with CDB.</w:t>
      </w:r>
    </w:p>
    <w:p w:rsidR="00B85212" w:rsidRDefault="00B85212" w:rsidP="00B85212">
      <w:pPr>
        <w:widowControl w:val="0"/>
        <w:autoSpaceDE w:val="0"/>
        <w:autoSpaceDN w:val="0"/>
        <w:adjustRightInd w:val="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Prequalification and </w:t>
      </w:r>
      <w:r w:rsidR="000B122D">
        <w:t>R</w:t>
      </w:r>
      <w:r>
        <w:t xml:space="preserve">enewal </w:t>
      </w:r>
      <w:r w:rsidR="000B122D">
        <w:t>A</w:t>
      </w:r>
      <w:r>
        <w:t xml:space="preserve">pplication </w:t>
      </w:r>
      <w:r w:rsidR="000B122D">
        <w:t>F</w:t>
      </w:r>
      <w:r>
        <w:t>orms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New applications shall</w:t>
      </w:r>
      <w:r w:rsidR="000B122D">
        <w:t>,</w:t>
      </w:r>
      <w:r>
        <w:t xml:space="preserve"> at a minimum</w:t>
      </w:r>
      <w:r w:rsidR="000B122D">
        <w:t>,</w:t>
      </w:r>
      <w:r>
        <w:t xml:space="preserve"> require: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  <w:contextualSpacing/>
      </w:pPr>
      <w:r>
        <w:t>A)</w:t>
      </w:r>
      <w:r>
        <w:tab/>
        <w:t>Completed application form.</w:t>
      </w:r>
    </w:p>
    <w:p w:rsidR="00B85212" w:rsidRDefault="00B85212" w:rsidP="00B85212">
      <w:pPr>
        <w:pStyle w:val="ListParagraph"/>
        <w:widowControl w:val="0"/>
        <w:autoSpaceDE w:val="0"/>
        <w:autoSpaceDN w:val="0"/>
        <w:adjustRightInd w:val="0"/>
        <w:ind w:left="2850"/>
        <w:contextualSpacing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  <w:contextualSpacing/>
      </w:pPr>
      <w:r>
        <w:t>B)</w:t>
      </w:r>
      <w:r>
        <w:tab/>
        <w:t>The name of each key person and that person</w:t>
      </w:r>
      <w:r w:rsidR="000B122D">
        <w:t>'</w:t>
      </w:r>
      <w:r>
        <w:t>s respective ownership.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</w:p>
    <w:p w:rsidR="00B85212" w:rsidRDefault="007E4258" w:rsidP="00B8521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Releva</w:t>
      </w:r>
      <w:r w:rsidR="00B85212">
        <w:t>nt work experience.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Evidence of any required bonding capacity meeting CDB criteria.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Adherence to </w:t>
      </w:r>
      <w:r w:rsidR="007E4258">
        <w:t xml:space="preserve">all appropriate </w:t>
      </w:r>
      <w:r>
        <w:t xml:space="preserve">statutory </w:t>
      </w:r>
      <w:r w:rsidR="001C5ACE">
        <w:t xml:space="preserve">and regulatory </w:t>
      </w:r>
      <w:r>
        <w:t>requirements</w:t>
      </w:r>
      <w:r w:rsidR="007E4258">
        <w:t xml:space="preserve">, including, but not limited to, </w:t>
      </w:r>
      <w:r w:rsidR="001C5ACE">
        <w:t>those of DFPR, SOS and DH</w:t>
      </w:r>
      <w:r w:rsidR="007E4258">
        <w:t>R</w:t>
      </w:r>
      <w:r w:rsidR="00F30D50">
        <w:t>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Satisfactory work history and references. References obtained may be verified and documented by the following methods: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</w:p>
    <w:p w:rsidR="00B85212" w:rsidRDefault="00B85212" w:rsidP="00B85212">
      <w:pPr>
        <w:widowControl w:val="0"/>
        <w:tabs>
          <w:tab w:val="left" w:pos="24225"/>
        </w:tabs>
        <w:autoSpaceDE w:val="0"/>
        <w:autoSpaceDN w:val="0"/>
        <w:adjustRightInd w:val="0"/>
        <w:ind w:left="3591" w:hanging="720"/>
      </w:pPr>
      <w:r>
        <w:t>i)</w:t>
      </w:r>
      <w:r>
        <w:tab/>
        <w:t>Telephone reference checks.</w:t>
      </w:r>
    </w:p>
    <w:p w:rsidR="00B85212" w:rsidRDefault="00B85212" w:rsidP="00B85212">
      <w:pPr>
        <w:widowControl w:val="0"/>
        <w:tabs>
          <w:tab w:val="left" w:pos="24225"/>
        </w:tabs>
        <w:autoSpaceDE w:val="0"/>
        <w:autoSpaceDN w:val="0"/>
        <w:adjustRightInd w:val="0"/>
        <w:ind w:left="3591" w:hanging="720"/>
      </w:pPr>
    </w:p>
    <w:p w:rsidR="00B85212" w:rsidRDefault="00B85212" w:rsidP="00B85212">
      <w:pPr>
        <w:widowControl w:val="0"/>
        <w:tabs>
          <w:tab w:val="left" w:pos="24225"/>
        </w:tabs>
        <w:autoSpaceDE w:val="0"/>
        <w:autoSpaceDN w:val="0"/>
        <w:adjustRightInd w:val="0"/>
        <w:ind w:left="3591" w:hanging="720"/>
      </w:pPr>
      <w:r>
        <w:t>ii)</w:t>
      </w:r>
      <w:r>
        <w:tab/>
        <w:t>Reference questionnaire.</w:t>
      </w:r>
    </w:p>
    <w:p w:rsidR="00B85212" w:rsidRDefault="00B85212" w:rsidP="00B85212">
      <w:pPr>
        <w:widowControl w:val="0"/>
        <w:tabs>
          <w:tab w:val="left" w:pos="24225"/>
        </w:tabs>
        <w:autoSpaceDE w:val="0"/>
        <w:autoSpaceDN w:val="0"/>
        <w:adjustRightInd w:val="0"/>
        <w:ind w:left="288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30"/>
        <w:contextualSpacing/>
      </w:pPr>
      <w:r>
        <w:t>H)</w:t>
      </w:r>
      <w:r>
        <w:tab/>
        <w:t>The applicant</w:t>
      </w:r>
      <w:r w:rsidR="000B122D">
        <w:t>'</w:t>
      </w:r>
      <w:r>
        <w:t>s e-mail address</w:t>
      </w:r>
      <w:r w:rsidR="000B122D">
        <w:t xml:space="preserve"> and</w:t>
      </w:r>
      <w:r>
        <w:t xml:space="preserve"> phone and fax numbers.</w:t>
      </w:r>
    </w:p>
    <w:p w:rsidR="00B85212" w:rsidRDefault="00B85212" w:rsidP="00B85212">
      <w:pPr>
        <w:pStyle w:val="ListParagraph"/>
        <w:widowControl w:val="0"/>
        <w:autoSpaceDE w:val="0"/>
        <w:autoSpaceDN w:val="0"/>
        <w:adjustRightInd w:val="0"/>
        <w:ind w:left="249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Renewal applications shall</w:t>
      </w:r>
      <w:r w:rsidR="000B122D">
        <w:t>,</w:t>
      </w:r>
      <w:r>
        <w:t xml:space="preserve"> at a minimum</w:t>
      </w:r>
      <w:r w:rsidR="000B122D">
        <w:t>,</w:t>
      </w:r>
      <w:r>
        <w:t xml:space="preserve"> require: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907" w:hanging="720"/>
      </w:pPr>
      <w:r>
        <w:t>A)</w:t>
      </w:r>
      <w:r>
        <w:tab/>
        <w:t>The information set out in subsection (a)(1).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907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907" w:hanging="720"/>
      </w:pPr>
      <w:r>
        <w:t>B)</w:t>
      </w:r>
      <w:r>
        <w:tab/>
        <w:t xml:space="preserve">Adherence to </w:t>
      </w:r>
      <w:r w:rsidR="007E7624">
        <w:t>all applicable</w:t>
      </w:r>
      <w:r>
        <w:t xml:space="preserve"> rules and resolutions.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907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Satisfactory CDB work and performance history, which may be documented through evaluations prepared on both current and past CDB projects by the following:</w:t>
      </w: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  <w:r>
        <w:t>i)</w:t>
      </w:r>
      <w:r>
        <w:tab/>
        <w:t>CDB staff.</w:t>
      </w: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  <w:r>
        <w:lastRenderedPageBreak/>
        <w:t>ii)</w:t>
      </w:r>
      <w:r>
        <w:tab/>
        <w:t>Architects/engineers and consultants.</w:t>
      </w: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  <w:r>
        <w:t>iii)</w:t>
      </w:r>
      <w:r>
        <w:tab/>
        <w:t>Using agencies.</w:t>
      </w: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</w:p>
    <w:p w:rsidR="00B85212" w:rsidRDefault="00B85212" w:rsidP="00B85212">
      <w:pPr>
        <w:widowControl w:val="0"/>
        <w:tabs>
          <w:tab w:val="left" w:pos="23256"/>
        </w:tabs>
        <w:autoSpaceDE w:val="0"/>
        <w:autoSpaceDN w:val="0"/>
        <w:adjustRightInd w:val="0"/>
        <w:ind w:left="3591" w:hanging="720"/>
      </w:pPr>
      <w:r>
        <w:t>iv)</w:t>
      </w:r>
      <w:r>
        <w:tab/>
        <w:t>Other contractors, subcontractors and suppliers.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Application </w:t>
      </w:r>
      <w:r w:rsidR="000B122D">
        <w:t>U</w:t>
      </w:r>
      <w:r>
        <w:t>pdates</w:t>
      </w:r>
    </w:p>
    <w:p w:rsidR="00B85212" w:rsidRDefault="007E7624" w:rsidP="00B85212">
      <w:pPr>
        <w:widowControl w:val="0"/>
        <w:autoSpaceDE w:val="0"/>
        <w:autoSpaceDN w:val="0"/>
        <w:adjustRightInd w:val="0"/>
        <w:ind w:left="2160" w:firstLine="6"/>
      </w:pPr>
      <w:r>
        <w:t>Vendors</w:t>
      </w:r>
      <w:r w:rsidR="00B85212">
        <w:t xml:space="preserve"> shall have an affirmative duty to update significant changes to information within 10 days </w:t>
      </w:r>
      <w:r w:rsidR="000B122D">
        <w:t>after</w:t>
      </w:r>
      <w:r w:rsidR="00B85212">
        <w:t xml:space="preserve"> occurrence.  Failure to disclose as required may lead to action on prequalification.  </w:t>
      </w:r>
      <w:r w:rsidR="000B122D">
        <w:t>(</w:t>
      </w:r>
      <w:r w:rsidR="001C4566">
        <w:t>S</w:t>
      </w:r>
      <w:r w:rsidR="00B85212">
        <w:t>ee Section 8.8055(c)</w:t>
      </w:r>
      <w:r w:rsidR="000B122D">
        <w:t>.)</w:t>
      </w:r>
      <w:r w:rsidR="00B85212">
        <w:t xml:space="preserve">  Significant changes include</w:t>
      </w:r>
      <w:r w:rsidR="0056509B">
        <w:t>,</w:t>
      </w:r>
      <w:r w:rsidR="00B85212">
        <w:t xml:space="preserve"> but are not limited to: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 xml:space="preserve">Changes in </w:t>
      </w:r>
      <w:r w:rsidR="007E7624">
        <w:t xml:space="preserve">federal employee identification number, </w:t>
      </w:r>
      <w:r w:rsidR="007E4258">
        <w:t xml:space="preserve">busines </w:t>
      </w:r>
      <w:r>
        <w:t>ownership</w:t>
      </w:r>
      <w:r w:rsidR="00F30D50">
        <w:t>,</w:t>
      </w:r>
      <w:r w:rsidR="007E7624">
        <w:t xml:space="preserve"> or</w:t>
      </w:r>
      <w:r>
        <w:t xml:space="preserve"> corporate structure, </w:t>
      </w:r>
      <w:r w:rsidR="007E4258">
        <w:t>such as</w:t>
      </w:r>
      <w:r>
        <w:t xml:space="preserve"> sole owners</w:t>
      </w:r>
      <w:r w:rsidR="007E7624">
        <w:t xml:space="preserve"> and</w:t>
      </w:r>
      <w:r>
        <w:t xml:space="preserve"> partnerships;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B)</w:t>
      </w:r>
      <w:r>
        <w:tab/>
        <w:t>Change of name;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C)</w:t>
      </w:r>
      <w:r>
        <w:tab/>
        <w:t>Change of address;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D)</w:t>
      </w:r>
      <w:r>
        <w:tab/>
        <w:t>Change or loss of approved project personnel;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14"/>
      </w:pPr>
      <w:r>
        <w:t>E)</w:t>
      </w:r>
      <w:r>
        <w:tab/>
        <w:t xml:space="preserve">Change or initiation of hearing in licensure or registration status with the Department of </w:t>
      </w:r>
      <w:r w:rsidR="000B122D">
        <w:t xml:space="preserve">Financial and </w:t>
      </w:r>
      <w:r w:rsidR="0056509B">
        <w:t>P</w:t>
      </w:r>
      <w:r>
        <w:t>rofessional Regulation;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F)</w:t>
      </w:r>
      <w:r>
        <w:tab/>
        <w:t xml:space="preserve">Change in minority/female owned </w:t>
      </w:r>
      <w:r w:rsidR="007E7624">
        <w:t>vendor</w:t>
      </w:r>
      <w:r>
        <w:t xml:space="preserve"> status;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G)</w:t>
      </w:r>
      <w:r>
        <w:tab/>
        <w:t>Loss of SOS "goodstanding" status;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H)</w:t>
      </w:r>
      <w:r>
        <w:tab/>
        <w:t>Suspension or debarment by another governmental agency;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14"/>
      </w:pPr>
      <w:r>
        <w:t>I)</w:t>
      </w:r>
      <w:r>
        <w:tab/>
        <w:t>Decrease by more than 25% in bonding capacity or filing of bankruptcy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880" w:hanging="714"/>
      </w:pPr>
      <w:r>
        <w:t>J)</w:t>
      </w:r>
      <w:r>
        <w:tab/>
        <w:t xml:space="preserve">Filing of formal criminal charges against a </w:t>
      </w:r>
      <w:r w:rsidR="007E7624">
        <w:t>vendor</w:t>
      </w:r>
      <w:r>
        <w:t xml:space="preserve"> or its officers, owners or employees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firstLine="6"/>
      </w:pPr>
      <w:r>
        <w:t>K)</w:t>
      </w:r>
      <w:r>
        <w:tab/>
        <w:t>Contract terminations.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</w:t>
      </w:r>
      <w:r w:rsidR="000B122D">
        <w:t>G</w:t>
      </w:r>
      <w:r>
        <w:t xml:space="preserve">overnment </w:t>
      </w:r>
      <w:r w:rsidR="000B122D">
        <w:t>E</w:t>
      </w:r>
      <w:r>
        <w:t xml:space="preserve">ntities 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/>
      </w:pPr>
      <w:r>
        <w:t>CDB may conduct history reference checks by contacting federal, State or local governmental entities.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</w:t>
      </w:r>
      <w:r w:rsidR="000B122D">
        <w:t>S</w:t>
      </w:r>
      <w:r>
        <w:t>ources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/>
      </w:pPr>
      <w:r>
        <w:t xml:space="preserve">CDB may conduct reference checks or gather relevant information from any other source in order to determine responsibility. Acceptable sources may include, but </w:t>
      </w:r>
      <w:r>
        <w:lastRenderedPageBreak/>
        <w:t>are not limited to: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Surety/bonding companies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Financial institutions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Periodicals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Newspapers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Court records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Dun and Bradstreet reports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Audited financial statements</w:t>
      </w:r>
      <w:r w:rsidR="000B122D">
        <w:t>;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Any type of public record</w:t>
      </w:r>
      <w:r w:rsidR="000B122D">
        <w:t>.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Previous </w:t>
      </w:r>
      <w:r w:rsidR="000B122D">
        <w:t>E</w:t>
      </w:r>
      <w:r>
        <w:t xml:space="preserve">mployment </w:t>
      </w:r>
      <w:r w:rsidR="000B122D">
        <w:t>H</w:t>
      </w:r>
      <w:r>
        <w:t>istory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For any newly organized </w:t>
      </w:r>
      <w:r w:rsidR="005E6DD8">
        <w:t>vendor</w:t>
      </w:r>
      <w:r>
        <w:t xml:space="preserve"> or a </w:t>
      </w:r>
      <w:r w:rsidR="005E6DD8">
        <w:t>vendor</w:t>
      </w:r>
      <w:r>
        <w:t xml:space="preserve"> with a limited work history, CDB may conduct individual performance reference checks on any or all personnel.</w:t>
      </w:r>
    </w:p>
    <w:p w:rsidR="00B85212" w:rsidRDefault="00B85212" w:rsidP="00B85212">
      <w:pPr>
        <w:widowControl w:val="0"/>
        <w:autoSpaceDE w:val="0"/>
        <w:autoSpaceDN w:val="0"/>
        <w:adjustRightInd w:val="0"/>
      </w:pPr>
    </w:p>
    <w:p w:rsidR="00B85212" w:rsidRDefault="00B85212" w:rsidP="00B85212">
      <w:pPr>
        <w:widowControl w:val="0"/>
        <w:autoSpaceDE w:val="0"/>
        <w:autoSpaceDN w:val="0"/>
        <w:adjustRightInd w:val="0"/>
        <w:ind w:firstLine="720"/>
      </w:pPr>
      <w:r>
        <w:t>e)</w:t>
      </w:r>
      <w:r>
        <w:tab/>
        <w:t xml:space="preserve">Satisfactory CDB </w:t>
      </w:r>
      <w:r w:rsidR="000B122D">
        <w:t>P</w:t>
      </w:r>
      <w:r>
        <w:t xml:space="preserve">erformance </w:t>
      </w:r>
      <w:r w:rsidR="000B122D">
        <w:t>H</w:t>
      </w:r>
      <w:r>
        <w:t>istory</w:t>
      </w:r>
    </w:p>
    <w:p w:rsidR="00B85212" w:rsidRPr="000B122D" w:rsidRDefault="00B85212" w:rsidP="000B122D"/>
    <w:p w:rsidR="00B85212" w:rsidRPr="000B122D" w:rsidRDefault="000B122D" w:rsidP="000B122D">
      <w:pPr>
        <w:ind w:left="2160" w:hanging="720"/>
      </w:pPr>
      <w:r w:rsidRPr="000B122D">
        <w:t>1)</w:t>
      </w:r>
      <w:r w:rsidRPr="000B122D">
        <w:tab/>
      </w:r>
      <w:r w:rsidR="00B85212" w:rsidRPr="000B122D">
        <w:t>CDB may review documentation of current and past work and performance history, including adherence to CDB</w:t>
      </w:r>
      <w:r>
        <w:t>'</w:t>
      </w:r>
      <w:r w:rsidR="00B85212" w:rsidRPr="000B122D">
        <w:t xml:space="preserve">s rules, resolutions and procedures.  </w:t>
      </w:r>
      <w:r>
        <w:t>This</w:t>
      </w:r>
      <w:r w:rsidR="00B85212" w:rsidRPr="000B122D">
        <w:t xml:space="preserve"> documentation includes, but is not limited to, performance evaluations prepared by CDB, user agencies or contractors.</w:t>
      </w:r>
    </w:p>
    <w:p w:rsidR="00B85212" w:rsidRPr="000B122D" w:rsidRDefault="00B85212" w:rsidP="000B122D"/>
    <w:p w:rsidR="00B85212" w:rsidRPr="000B122D" w:rsidRDefault="000B122D" w:rsidP="000B122D">
      <w:pPr>
        <w:ind w:left="2160" w:hanging="720"/>
      </w:pPr>
      <w:r>
        <w:t>2)</w:t>
      </w:r>
      <w:r>
        <w:tab/>
      </w:r>
      <w:r w:rsidR="00B85212" w:rsidRPr="000B122D">
        <w:t xml:space="preserve">CDB shall evaluate the performance of each </w:t>
      </w:r>
      <w:r w:rsidR="005E6DD8">
        <w:t>vendor</w:t>
      </w:r>
      <w:r w:rsidR="00B85212" w:rsidRPr="000B122D">
        <w:t xml:space="preserve"> and design-build entity upon completion of a contract.  Evaluations shall be made available to the </w:t>
      </w:r>
      <w:r w:rsidR="005E6DD8">
        <w:t xml:space="preserve">vendor </w:t>
      </w:r>
      <w:r w:rsidR="00B85212" w:rsidRPr="000B122D">
        <w:t xml:space="preserve">and the </w:t>
      </w:r>
      <w:r w:rsidR="005E6DD8">
        <w:t>vendor</w:t>
      </w:r>
      <w:r w:rsidR="00B85212" w:rsidRPr="000B122D">
        <w:t xml:space="preserve"> may submit a written response, with the evaluation and response retained solely by CDB.  The evaluation and response shall not be made available to any other person or </w:t>
      </w:r>
      <w:r w:rsidR="005E6DD8">
        <w:t>vendor</w:t>
      </w:r>
      <w:r w:rsidR="00B85212" w:rsidRPr="000B122D">
        <w:t xml:space="preserve"> and is exempt from disclosure under the Freedom of Information Act.  The evaluation shall be based on the terms identified in the construction manager</w:t>
      </w:r>
      <w:r w:rsidR="009D520E">
        <w:t>'</w:t>
      </w:r>
      <w:r w:rsidR="00B85212" w:rsidRPr="000B122D">
        <w:t xml:space="preserve">s contract. </w:t>
      </w:r>
    </w:p>
    <w:p w:rsidR="00B85212" w:rsidRPr="000B122D" w:rsidRDefault="00B85212" w:rsidP="000B122D"/>
    <w:p w:rsidR="00B85212" w:rsidRDefault="00B85212" w:rsidP="00B8521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Additional </w:t>
      </w:r>
      <w:r w:rsidR="009D520E">
        <w:t>I</w:t>
      </w:r>
      <w:r>
        <w:t>nformation</w:t>
      </w:r>
    </w:p>
    <w:p w:rsidR="00B85212" w:rsidRDefault="00B85212" w:rsidP="00B85212">
      <w:pPr>
        <w:widowControl w:val="0"/>
        <w:autoSpaceDE w:val="0"/>
        <w:autoSpaceDN w:val="0"/>
        <w:adjustRightInd w:val="0"/>
        <w:ind w:left="1440"/>
      </w:pPr>
      <w:r>
        <w:t>CDB may request additional information at any time.</w:t>
      </w:r>
    </w:p>
    <w:sectPr w:rsidR="00B8521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7D" w:rsidRDefault="006B0B7D">
      <w:r>
        <w:separator/>
      </w:r>
    </w:p>
  </w:endnote>
  <w:endnote w:type="continuationSeparator" w:id="0">
    <w:p w:rsidR="006B0B7D" w:rsidRDefault="006B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7D" w:rsidRDefault="006B0B7D">
      <w:r>
        <w:separator/>
      </w:r>
    </w:p>
  </w:footnote>
  <w:footnote w:type="continuationSeparator" w:id="0">
    <w:p w:rsidR="006B0B7D" w:rsidRDefault="006B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454A3"/>
    <w:multiLevelType w:val="hybridMultilevel"/>
    <w:tmpl w:val="0304F144"/>
    <w:lvl w:ilvl="0" w:tplc="A0C056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22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4566"/>
    <w:rsid w:val="001C5AC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09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E6DD8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B7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258"/>
    <w:rsid w:val="007E5206"/>
    <w:rsid w:val="007E7624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CB4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20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212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4FB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D5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A729C1-5FD8-4668-AFD3-1672FBC5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B852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13</cp:revision>
  <dcterms:created xsi:type="dcterms:W3CDTF">2013-03-07T20:23:00Z</dcterms:created>
  <dcterms:modified xsi:type="dcterms:W3CDTF">2014-03-18T20:12:00Z</dcterms:modified>
</cp:coreProperties>
</file>