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84" w:rsidRPr="00A05C84" w:rsidRDefault="00A05C84" w:rsidP="00A05C84"/>
    <w:p w:rsidR="00A05C84" w:rsidRPr="00A05C84" w:rsidRDefault="00A05C84" w:rsidP="00A05C84">
      <w:pPr>
        <w:rPr>
          <w:b/>
        </w:rPr>
      </w:pPr>
      <w:r w:rsidRPr="00A05C84">
        <w:rPr>
          <w:b/>
        </w:rPr>
        <w:t xml:space="preserve">Section </w:t>
      </w:r>
      <w:proofErr w:type="gramStart"/>
      <w:r w:rsidRPr="00A05C84">
        <w:rPr>
          <w:b/>
        </w:rPr>
        <w:t>8.3120  Small</w:t>
      </w:r>
      <w:proofErr w:type="gramEnd"/>
      <w:r w:rsidRPr="00A05C84">
        <w:rPr>
          <w:b/>
        </w:rPr>
        <w:t xml:space="preserve"> Projects</w:t>
      </w:r>
    </w:p>
    <w:p w:rsidR="00A05C84" w:rsidRPr="00A05C84" w:rsidRDefault="00A05C84" w:rsidP="00A05C84"/>
    <w:p w:rsidR="00A05C84" w:rsidRPr="00A05C84" w:rsidRDefault="00A05C84" w:rsidP="00A05C84">
      <w:pPr>
        <w:ind w:left="1440" w:hanging="720"/>
      </w:pPr>
      <w:r w:rsidRPr="00A05C84">
        <w:t>a)</w:t>
      </w:r>
      <w:r w:rsidRPr="00A05C84">
        <w:tab/>
        <w:t xml:space="preserve">For contracts whose estimated value is less than $25,000, CDB may select any prequalified A/E in accordance with Section 45 of the </w:t>
      </w:r>
      <w:proofErr w:type="spellStart"/>
      <w:r w:rsidR="00645EC0">
        <w:t>QBS</w:t>
      </w:r>
      <w:proofErr w:type="spellEnd"/>
      <w:r w:rsidR="00645EC0">
        <w:t xml:space="preserve"> Act.</w:t>
      </w:r>
      <w:bookmarkStart w:id="0" w:name="_GoBack"/>
      <w:bookmarkEnd w:id="0"/>
    </w:p>
    <w:p w:rsidR="00A05C84" w:rsidRPr="00A05C84" w:rsidRDefault="00A05C84" w:rsidP="00A05C84">
      <w:pPr>
        <w:ind w:left="720"/>
      </w:pPr>
    </w:p>
    <w:p w:rsidR="00A05C84" w:rsidRPr="00A05C84" w:rsidRDefault="00A05C84" w:rsidP="00A05C84">
      <w:pPr>
        <w:ind w:left="1440" w:hanging="720"/>
      </w:pPr>
      <w:r w:rsidRPr="00A05C84">
        <w:t>b)</w:t>
      </w:r>
      <w:r w:rsidRPr="00A05C84">
        <w:tab/>
        <w:t>For contracts whose value is less than $25,000, CDB may select any prequalified CM in accordance with Section 33-35 of the Code.</w:t>
      </w:r>
    </w:p>
    <w:p w:rsidR="00A05C84" w:rsidRPr="00A05C84" w:rsidRDefault="00A05C84" w:rsidP="00A05C84">
      <w:pPr>
        <w:ind w:left="720"/>
      </w:pPr>
    </w:p>
    <w:p w:rsidR="000174EB" w:rsidRPr="00AD16AF" w:rsidRDefault="00A05C84" w:rsidP="00A05C84">
      <w:pPr>
        <w:ind w:left="1440" w:hanging="720"/>
      </w:pPr>
      <w:r w:rsidRPr="00A05C84">
        <w:rPr>
          <w:color w:val="000000"/>
        </w:rPr>
        <w:t>c)</w:t>
      </w:r>
      <w:r w:rsidRPr="00A05C84">
        <w:rPr>
          <w:color w:val="000000"/>
        </w:rPr>
        <w:tab/>
        <w:t>In any case in which the total overall cost of the project is estimated to be less than $10 million, CDB may combine the two-phase procedure for Design-Build submittals into one combined step, provided that all the requirements of evaluation are performed in accordance with this Part.</w:t>
      </w:r>
    </w:p>
    <w:sectPr w:rsidR="000174EB" w:rsidRPr="00AD16A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6AF" w:rsidRDefault="00AD16AF">
      <w:r>
        <w:separator/>
      </w:r>
    </w:p>
  </w:endnote>
  <w:endnote w:type="continuationSeparator" w:id="0">
    <w:p w:rsidR="00AD16AF" w:rsidRDefault="00AD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6AF" w:rsidRDefault="00AD16AF">
      <w:r>
        <w:separator/>
      </w:r>
    </w:p>
  </w:footnote>
  <w:footnote w:type="continuationSeparator" w:id="0">
    <w:p w:rsidR="00AD16AF" w:rsidRDefault="00AD1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A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EC0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5C84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16AF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499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2013-03-07T20:22:00Z</dcterms:created>
  <dcterms:modified xsi:type="dcterms:W3CDTF">2013-04-04T20:24:00Z</dcterms:modified>
</cp:coreProperties>
</file>