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E5" w:rsidRPr="009062E5" w:rsidRDefault="009062E5" w:rsidP="009062E5"/>
    <w:p w:rsidR="009062E5" w:rsidRPr="009062E5" w:rsidRDefault="009062E5" w:rsidP="009062E5">
      <w:r w:rsidRPr="009062E5">
        <w:rPr>
          <w:b/>
          <w:bCs/>
        </w:rPr>
        <w:t>Section 8.3065  Submittal Requirements</w:t>
      </w:r>
    </w:p>
    <w:p w:rsidR="009062E5" w:rsidRPr="009062E5" w:rsidRDefault="009062E5" w:rsidP="009062E5"/>
    <w:p w:rsidR="009062E5" w:rsidRPr="009062E5" w:rsidRDefault="009062E5" w:rsidP="009062E5">
      <w:pPr>
        <w:ind w:firstLine="720"/>
      </w:pPr>
      <w:r>
        <w:t>a)</w:t>
      </w:r>
      <w:r>
        <w:tab/>
      </w:r>
      <w:r w:rsidRPr="009062E5">
        <w:t>A/E and CM</w:t>
      </w:r>
    </w:p>
    <w:p w:rsidR="009062E5" w:rsidRPr="009062E5" w:rsidRDefault="009062E5" w:rsidP="009062E5"/>
    <w:p w:rsidR="009062E5" w:rsidRPr="009062E5" w:rsidRDefault="009062E5" w:rsidP="00335813">
      <w:pPr>
        <w:ind w:left="1440"/>
      </w:pPr>
      <w:r w:rsidRPr="009062E5">
        <w:t>All A/Es submitting statements of qualifications for a specific project shall be prequalified with CDB prior to the date and time that the offers are due.  All CMs submitting statements of qualifications for a specific project shall be prequalified with CDB as CMs prior to the date and time that the submittals are due.  Failure to be prequalified will result in rejection of the submittals.</w:t>
      </w:r>
    </w:p>
    <w:p w:rsidR="009062E5" w:rsidRPr="009062E5" w:rsidRDefault="009062E5" w:rsidP="009062E5"/>
    <w:p w:rsidR="009062E5" w:rsidRPr="009062E5" w:rsidRDefault="009062E5" w:rsidP="009062E5">
      <w:pPr>
        <w:ind w:firstLine="720"/>
      </w:pPr>
      <w:r w:rsidRPr="009062E5">
        <w:t>b)</w:t>
      </w:r>
      <w:r w:rsidRPr="009062E5">
        <w:tab/>
        <w:t>In order to be considered responsive, a submittal must include:</w:t>
      </w:r>
    </w:p>
    <w:p w:rsidR="009062E5" w:rsidRPr="009062E5" w:rsidRDefault="009062E5" w:rsidP="009062E5">
      <w:pPr>
        <w:ind w:left="1440"/>
      </w:pPr>
    </w:p>
    <w:p w:rsidR="009062E5" w:rsidRPr="009062E5" w:rsidRDefault="009062E5" w:rsidP="009062E5">
      <w:pPr>
        <w:ind w:left="2160" w:hanging="720"/>
      </w:pPr>
      <w:r>
        <w:t>1)</w:t>
      </w:r>
      <w:r>
        <w:tab/>
      </w:r>
      <w:r w:rsidRPr="009062E5">
        <w:t xml:space="preserve">A letter of interest </w:t>
      </w:r>
      <w:r w:rsidR="000436E6">
        <w:t>that</w:t>
      </w:r>
      <w:r w:rsidRPr="009062E5">
        <w:t xml:space="preserve"> contains a statement of qualifications (CDB Form 255)</w:t>
      </w:r>
      <w:r w:rsidR="000436E6">
        <w:t>;</w:t>
      </w:r>
    </w:p>
    <w:p w:rsidR="009062E5" w:rsidRPr="009062E5" w:rsidRDefault="009062E5" w:rsidP="009062E5">
      <w:pPr>
        <w:ind w:left="1440"/>
      </w:pPr>
    </w:p>
    <w:p w:rsidR="009062E5" w:rsidRPr="009062E5" w:rsidRDefault="009062E5" w:rsidP="009062E5">
      <w:pPr>
        <w:ind w:left="2160" w:hanging="720"/>
      </w:pPr>
      <w:r>
        <w:t>2)</w:t>
      </w:r>
      <w:r>
        <w:tab/>
      </w:r>
      <w:r w:rsidRPr="009062E5">
        <w:t>The names of persons who will perform the services, including the designated staff of any listed consultant, and their project assignments or duties;</w:t>
      </w:r>
    </w:p>
    <w:p w:rsidR="009062E5" w:rsidRPr="009062E5" w:rsidRDefault="009062E5" w:rsidP="009062E5">
      <w:pPr>
        <w:ind w:left="1440"/>
      </w:pPr>
      <w:bookmarkStart w:id="0" w:name="_GoBack"/>
      <w:bookmarkEnd w:id="0"/>
    </w:p>
    <w:p w:rsidR="009062E5" w:rsidRPr="009062E5" w:rsidRDefault="009062E5" w:rsidP="009062E5">
      <w:pPr>
        <w:ind w:left="1440"/>
      </w:pPr>
      <w:r w:rsidRPr="009062E5">
        <w:t>3)</w:t>
      </w:r>
      <w:r w:rsidRPr="009062E5">
        <w:tab/>
        <w:t xml:space="preserve">If a statement of qualifications is required: </w:t>
      </w:r>
    </w:p>
    <w:p w:rsidR="009062E5" w:rsidRPr="009062E5" w:rsidRDefault="009062E5" w:rsidP="009062E5"/>
    <w:p w:rsidR="009062E5" w:rsidRPr="009062E5" w:rsidRDefault="009062E5" w:rsidP="009062E5">
      <w:pPr>
        <w:ind w:left="2880" w:hanging="720"/>
      </w:pPr>
      <w:r>
        <w:t>A)</w:t>
      </w:r>
      <w:r>
        <w:tab/>
      </w:r>
      <w:r w:rsidRPr="009062E5">
        <w:t>the names of persons who will perform the services, including the designated staff of any listed consultant, and their project assignments or duties;</w:t>
      </w:r>
    </w:p>
    <w:p w:rsidR="009062E5" w:rsidRPr="009062E5" w:rsidRDefault="009062E5" w:rsidP="009062E5"/>
    <w:p w:rsidR="009062E5" w:rsidRPr="009062E5" w:rsidRDefault="009062E5" w:rsidP="009062E5">
      <w:pPr>
        <w:ind w:left="2880" w:hanging="720"/>
      </w:pPr>
      <w:r w:rsidRPr="009062E5">
        <w:t>B)</w:t>
      </w:r>
      <w:r>
        <w:tab/>
      </w:r>
      <w:r w:rsidRPr="009062E5">
        <w:t>for each person listed, a resume describing the person</w:t>
      </w:r>
      <w:r>
        <w:t>'</w:t>
      </w:r>
      <w:r w:rsidRPr="009062E5">
        <w:t>s experience and expertise relevant to performance of the assignment;</w:t>
      </w:r>
    </w:p>
    <w:p w:rsidR="009062E5" w:rsidRPr="009062E5" w:rsidRDefault="009062E5" w:rsidP="009062E5"/>
    <w:p w:rsidR="009062E5" w:rsidRPr="009062E5" w:rsidRDefault="009062E5" w:rsidP="009062E5">
      <w:pPr>
        <w:ind w:left="2160" w:hanging="720"/>
      </w:pPr>
      <w:r w:rsidRPr="009062E5">
        <w:t>4)</w:t>
      </w:r>
      <w:r w:rsidRPr="009062E5">
        <w:tab/>
      </w:r>
      <w:r w:rsidR="000436E6">
        <w:t>A</w:t>
      </w:r>
      <w:r w:rsidRPr="009062E5">
        <w:t xml:space="preserve"> summary of the </w:t>
      </w:r>
      <w:r w:rsidR="00B11322">
        <w:t>vendor's</w:t>
      </w:r>
      <w:r w:rsidRPr="009062E5">
        <w:t xml:space="preserve"> history and experience that would demonstrate its administrative ability to successfully carry out projects of the magnitude or complexity of the offered project.</w:t>
      </w:r>
    </w:p>
    <w:p w:rsidR="009062E5" w:rsidRPr="009062E5" w:rsidRDefault="009062E5" w:rsidP="009062E5"/>
    <w:p w:rsidR="009062E5" w:rsidRPr="009062E5" w:rsidRDefault="009062E5" w:rsidP="009062E5">
      <w:pPr>
        <w:ind w:left="1440" w:hanging="720"/>
      </w:pPr>
      <w:r w:rsidRPr="009062E5">
        <w:t>c)</w:t>
      </w:r>
      <w:r w:rsidRPr="009062E5">
        <w:tab/>
        <w:t>If the offeror will use subcontractors to perform professional services, then the following shall be required</w:t>
      </w:r>
      <w:r w:rsidR="000436E6">
        <w:t>:</w:t>
      </w:r>
    </w:p>
    <w:p w:rsidR="009062E5" w:rsidRPr="009062E5" w:rsidRDefault="009062E5" w:rsidP="009062E5">
      <w:pPr>
        <w:ind w:left="1440"/>
      </w:pPr>
    </w:p>
    <w:p w:rsidR="009062E5" w:rsidRPr="009062E5" w:rsidRDefault="009062E5" w:rsidP="009062E5">
      <w:pPr>
        <w:ind w:left="2160" w:hanging="720"/>
      </w:pPr>
      <w:r>
        <w:t>1)</w:t>
      </w:r>
      <w:r>
        <w:tab/>
      </w:r>
      <w:r w:rsidRPr="009062E5">
        <w:t>Those subcontractors shall also be prequalified with CDB prior to the date and time that the submittals are due, or the offer shall be rejected; and</w:t>
      </w:r>
    </w:p>
    <w:p w:rsidR="009062E5" w:rsidRPr="009062E5" w:rsidRDefault="009062E5" w:rsidP="009062E5">
      <w:pPr>
        <w:ind w:left="1440"/>
      </w:pPr>
    </w:p>
    <w:p w:rsidR="009062E5" w:rsidRPr="009062E5" w:rsidRDefault="009062E5" w:rsidP="009062E5">
      <w:pPr>
        <w:ind w:left="2160" w:hanging="720"/>
      </w:pPr>
      <w:r>
        <w:t>2)</w:t>
      </w:r>
      <w:r>
        <w:tab/>
      </w:r>
      <w:r w:rsidRPr="009062E5">
        <w:t>The offeror shall clearly indicate the anticipated percentage of the services that will be performed by each listed subcontractor and identify whether each consultant is certified as a MBE, FBE, VBE or SDVOB.</w:t>
      </w:r>
    </w:p>
    <w:p w:rsidR="009062E5" w:rsidRPr="009062E5" w:rsidRDefault="009062E5" w:rsidP="009062E5"/>
    <w:p w:rsidR="009062E5" w:rsidRPr="009062E5" w:rsidRDefault="009062E5" w:rsidP="009062E5">
      <w:pPr>
        <w:ind w:left="1440" w:hanging="720"/>
      </w:pPr>
      <w:r w:rsidRPr="009062E5">
        <w:t>d)</w:t>
      </w:r>
      <w:r w:rsidRPr="009062E5">
        <w:tab/>
        <w:t xml:space="preserve">Failure to comply with the requirements of this </w:t>
      </w:r>
      <w:r w:rsidR="000436E6">
        <w:t>S</w:t>
      </w:r>
      <w:r w:rsidRPr="009062E5">
        <w:t xml:space="preserve">ection regarding subcontractors shall result in rejection of the submittal. </w:t>
      </w:r>
    </w:p>
    <w:p w:rsidR="009062E5" w:rsidRPr="009062E5" w:rsidRDefault="009062E5" w:rsidP="009062E5"/>
    <w:p w:rsidR="009062E5" w:rsidRPr="009062E5" w:rsidRDefault="009062E5" w:rsidP="009062E5">
      <w:pPr>
        <w:ind w:firstLine="720"/>
      </w:pPr>
      <w:r w:rsidRPr="009062E5">
        <w:lastRenderedPageBreak/>
        <w:t>e)</w:t>
      </w:r>
      <w:r w:rsidRPr="009062E5">
        <w:tab/>
        <w:t xml:space="preserve">If the offeror is a DB </w:t>
      </w:r>
      <w:r w:rsidR="000436E6">
        <w:t>e</w:t>
      </w:r>
      <w:r w:rsidRPr="009062E5">
        <w:t>ntity</w:t>
      </w:r>
      <w:r w:rsidR="000436E6">
        <w:t>,</w:t>
      </w:r>
      <w:r w:rsidRPr="009062E5">
        <w:t xml:space="preserve"> the following shall be required:</w:t>
      </w:r>
    </w:p>
    <w:p w:rsidR="009062E5" w:rsidRPr="009062E5" w:rsidRDefault="009062E5" w:rsidP="009062E5">
      <w:pPr>
        <w:ind w:left="1440"/>
      </w:pPr>
    </w:p>
    <w:p w:rsidR="009062E5" w:rsidRPr="009062E5" w:rsidRDefault="009062E5" w:rsidP="009062E5">
      <w:pPr>
        <w:ind w:left="1440"/>
        <w:rPr>
          <w:color w:val="000000"/>
        </w:rPr>
      </w:pPr>
      <w:r w:rsidRPr="009062E5">
        <w:rPr>
          <w:color w:val="000000"/>
        </w:rPr>
        <w:t>1)</w:t>
      </w:r>
      <w:r w:rsidRPr="009062E5">
        <w:rPr>
          <w:color w:val="000000"/>
        </w:rPr>
        <w:tab/>
        <w:t>Proposals must be properly identified and sealed.</w:t>
      </w:r>
    </w:p>
    <w:p w:rsidR="009062E5" w:rsidRPr="009062E5" w:rsidRDefault="009062E5" w:rsidP="009062E5">
      <w:pPr>
        <w:ind w:left="1440"/>
        <w:rPr>
          <w:color w:val="000000"/>
        </w:rPr>
      </w:pPr>
    </w:p>
    <w:p w:rsidR="009062E5" w:rsidRPr="009062E5" w:rsidRDefault="009062E5" w:rsidP="009062E5">
      <w:pPr>
        <w:ind w:left="2160" w:hanging="720"/>
      </w:pPr>
      <w:r w:rsidRPr="009062E5">
        <w:rPr>
          <w:color w:val="000000"/>
        </w:rPr>
        <w:t>2)</w:t>
      </w:r>
      <w:r w:rsidRPr="009062E5">
        <w:rPr>
          <w:color w:val="000000"/>
        </w:rPr>
        <w:tab/>
        <w:t>Phase 1 proposals shall include a list of all design professionals and other entities</w:t>
      </w:r>
      <w:r w:rsidR="000436E6">
        <w:rPr>
          <w:color w:val="000000"/>
        </w:rPr>
        <w:t>,</w:t>
      </w:r>
      <w:r w:rsidRPr="009062E5">
        <w:rPr>
          <w:color w:val="000000"/>
        </w:rPr>
        <w:t xml:space="preserve"> as defined in Section 30-30 of the </w:t>
      </w:r>
      <w:r w:rsidR="000436E6">
        <w:rPr>
          <w:color w:val="000000"/>
        </w:rPr>
        <w:t>C</w:t>
      </w:r>
      <w:r w:rsidRPr="009062E5">
        <w:rPr>
          <w:color w:val="000000"/>
        </w:rPr>
        <w:t>ode</w:t>
      </w:r>
      <w:r w:rsidR="000436E6">
        <w:rPr>
          <w:color w:val="000000"/>
        </w:rPr>
        <w:t>,</w:t>
      </w:r>
      <w:r w:rsidRPr="009062E5">
        <w:rPr>
          <w:color w:val="000000"/>
        </w:rPr>
        <w:t xml:space="preserve"> to which any work may be subcontracted during the performance of the contract.</w:t>
      </w:r>
    </w:p>
    <w:p w:rsidR="009062E5" w:rsidRPr="009062E5" w:rsidRDefault="009062E5" w:rsidP="009062E5">
      <w:pPr>
        <w:ind w:left="1440"/>
      </w:pPr>
    </w:p>
    <w:p w:rsidR="009062E5" w:rsidRPr="009062E5" w:rsidRDefault="009062E5" w:rsidP="009062E5">
      <w:pPr>
        <w:ind w:left="2160" w:hanging="720"/>
      </w:pPr>
      <w:r w:rsidRPr="009062E5">
        <w:rPr>
          <w:color w:val="000000"/>
        </w:rPr>
        <w:t>3)</w:t>
      </w:r>
      <w:r w:rsidRPr="009062E5">
        <w:rPr>
          <w:color w:val="000000"/>
        </w:rPr>
        <w:tab/>
        <w:t>Phase 1 proposals shall include a list of all entities that will perform any of the 5 subdivisions of work defined in Section 30-30 of the Code.</w:t>
      </w:r>
    </w:p>
    <w:p w:rsidR="009062E5" w:rsidRPr="009062E5" w:rsidRDefault="009062E5" w:rsidP="009062E5">
      <w:pPr>
        <w:ind w:left="1440"/>
        <w:rPr>
          <w:color w:val="000000"/>
        </w:rPr>
      </w:pPr>
    </w:p>
    <w:p w:rsidR="009062E5" w:rsidRPr="009062E5" w:rsidRDefault="009062E5" w:rsidP="009062E5">
      <w:pPr>
        <w:ind w:left="2160" w:hanging="720"/>
      </w:pPr>
      <w:r w:rsidRPr="009062E5">
        <w:rPr>
          <w:color w:val="000000"/>
        </w:rPr>
        <w:t>4)</w:t>
      </w:r>
      <w:r w:rsidRPr="009062E5">
        <w:rPr>
          <w:color w:val="000000"/>
        </w:rPr>
        <w:tab/>
        <w:t>Phase 2 proposals shall include a bid bond and security in the format and amount designated in the RFPs.</w:t>
      </w:r>
    </w:p>
    <w:p w:rsidR="009062E5" w:rsidRPr="009062E5" w:rsidRDefault="009062E5" w:rsidP="009062E5">
      <w:pPr>
        <w:ind w:left="1440"/>
      </w:pPr>
    </w:p>
    <w:p w:rsidR="009062E5" w:rsidRPr="009062E5" w:rsidRDefault="009062E5" w:rsidP="009062E5">
      <w:pPr>
        <w:ind w:left="2160" w:hanging="720"/>
      </w:pPr>
      <w:r w:rsidRPr="009062E5">
        <w:rPr>
          <w:color w:val="000000"/>
        </w:rPr>
        <w:t>5)</w:t>
      </w:r>
      <w:r w:rsidRPr="009062E5">
        <w:rPr>
          <w:color w:val="000000"/>
        </w:rPr>
        <w:tab/>
        <w:t>Phase 2 proposals shall contain a separate sealed envelope with the cost information.</w:t>
      </w:r>
    </w:p>
    <w:p w:rsidR="009062E5" w:rsidRPr="009062E5" w:rsidRDefault="009062E5" w:rsidP="009062E5">
      <w:pPr>
        <w:ind w:left="1440"/>
      </w:pPr>
    </w:p>
    <w:p w:rsidR="009062E5" w:rsidRPr="009062E5" w:rsidRDefault="009062E5" w:rsidP="009062E5">
      <w:pPr>
        <w:ind w:left="2160" w:hanging="720"/>
        <w:rPr>
          <w:color w:val="000000"/>
        </w:rPr>
      </w:pPr>
      <w:r w:rsidRPr="009062E5">
        <w:rPr>
          <w:color w:val="000000"/>
        </w:rPr>
        <w:t>6)</w:t>
      </w:r>
      <w:r w:rsidRPr="009062E5">
        <w:rPr>
          <w:color w:val="000000"/>
        </w:rPr>
        <w:tab/>
        <w:t>The drawings and specifications of the proposal shall remain the property of the DB entity.</w:t>
      </w:r>
    </w:p>
    <w:p w:rsidR="009062E5" w:rsidRPr="009062E5" w:rsidRDefault="009062E5" w:rsidP="009062E5">
      <w:pPr>
        <w:ind w:left="1440"/>
        <w:rPr>
          <w:color w:val="000000"/>
        </w:rPr>
      </w:pPr>
    </w:p>
    <w:p w:rsidR="000174EB" w:rsidRPr="002B47FD" w:rsidRDefault="009062E5" w:rsidP="009062E5">
      <w:pPr>
        <w:ind w:left="2160" w:hanging="720"/>
      </w:pPr>
      <w:r w:rsidRPr="009062E5">
        <w:rPr>
          <w:color w:val="000000"/>
        </w:rPr>
        <w:t>7)</w:t>
      </w:r>
      <w:r w:rsidRPr="009062E5">
        <w:rPr>
          <w:color w:val="000000"/>
        </w:rPr>
        <w:tab/>
        <w:t>Subject to approval by the CPO, proposals may be withdrawn prior to evaluation for any cause.  After evaluation begins by CDB, proposals may only be withdrawn if there is clear and convincing evidence of material error.</w:t>
      </w:r>
    </w:p>
    <w:sectPr w:rsidR="000174EB" w:rsidRPr="002B47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7FD" w:rsidRDefault="002B47FD">
      <w:r>
        <w:separator/>
      </w:r>
    </w:p>
  </w:endnote>
  <w:endnote w:type="continuationSeparator" w:id="0">
    <w:p w:rsidR="002B47FD" w:rsidRDefault="002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7FD" w:rsidRDefault="002B47FD">
      <w:r>
        <w:separator/>
      </w:r>
    </w:p>
  </w:footnote>
  <w:footnote w:type="continuationSeparator" w:id="0">
    <w:p w:rsidR="002B47FD" w:rsidRDefault="002B4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012B2"/>
    <w:multiLevelType w:val="hybridMultilevel"/>
    <w:tmpl w:val="26C2466C"/>
    <w:lvl w:ilvl="0" w:tplc="0F9AFF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1D36FE"/>
    <w:multiLevelType w:val="hybridMultilevel"/>
    <w:tmpl w:val="512A520E"/>
    <w:lvl w:ilvl="0" w:tplc="F716CC2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6DAB18E4"/>
    <w:multiLevelType w:val="hybridMultilevel"/>
    <w:tmpl w:val="A4585420"/>
    <w:lvl w:ilvl="0" w:tplc="1600774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4C91234"/>
    <w:multiLevelType w:val="hybridMultilevel"/>
    <w:tmpl w:val="06FA1FA4"/>
    <w:lvl w:ilvl="0" w:tplc="60224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F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6E6"/>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47FD"/>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81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2E5"/>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32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0038C1-C920-4015-8EFE-F8AD4F96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2463</Characters>
  <Application>Microsoft Office Word</Application>
  <DocSecurity>0</DocSecurity>
  <Lines>20</Lines>
  <Paragraphs>5</Paragraphs>
  <ScaleCrop>false</ScaleCrop>
  <Company>Illinois General Assembly</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5</cp:revision>
  <dcterms:created xsi:type="dcterms:W3CDTF">2013-03-07T20:22:00Z</dcterms:created>
  <dcterms:modified xsi:type="dcterms:W3CDTF">2014-03-18T19:57:00Z</dcterms:modified>
</cp:coreProperties>
</file>