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9F" w:rsidRDefault="003E5F9F" w:rsidP="003E5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F9F" w:rsidRDefault="00470473" w:rsidP="003E5F9F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E5F9F">
        <w:rPr>
          <w:b/>
          <w:bCs/>
        </w:rPr>
        <w:t xml:space="preserve">ection </w:t>
      </w:r>
      <w:r w:rsidR="00E5218F">
        <w:rPr>
          <w:b/>
          <w:bCs/>
        </w:rPr>
        <w:t>8</w:t>
      </w:r>
      <w:r w:rsidR="003E5F9F">
        <w:rPr>
          <w:b/>
          <w:bCs/>
        </w:rPr>
        <w:t>.220  Suspension and Debarment</w:t>
      </w:r>
      <w:r w:rsidR="003E5F9F">
        <w:t xml:space="preserve"> </w:t>
      </w:r>
    </w:p>
    <w:p w:rsidR="003E5F9F" w:rsidRDefault="003E5F9F" w:rsidP="003E5F9F">
      <w:pPr>
        <w:widowControl w:val="0"/>
        <w:autoSpaceDE w:val="0"/>
        <w:autoSpaceDN w:val="0"/>
        <w:adjustRightInd w:val="0"/>
      </w:pPr>
    </w:p>
    <w:p w:rsidR="003E5F9F" w:rsidRDefault="003E5F9F" w:rsidP="003E5F9F">
      <w:pPr>
        <w:widowControl w:val="0"/>
        <w:autoSpaceDE w:val="0"/>
        <w:autoSpaceDN w:val="0"/>
        <w:adjustRightInd w:val="0"/>
      </w:pPr>
      <w:r>
        <w:t xml:space="preserve">Any person or firm prequalified with CDB may be suspended for a period up to 5 years, or may be debarred for a period of 5 years up to a permanent debarment in accordance with 44 Ill. Adm. Code 980.  Causes for suspension or debarment are set forth in the Code, other statutes, and 44 Ill. Adm. Code 980. </w:t>
      </w:r>
    </w:p>
    <w:sectPr w:rsidR="003E5F9F" w:rsidSect="003E5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F9F"/>
    <w:rsid w:val="000C30AD"/>
    <w:rsid w:val="00154B84"/>
    <w:rsid w:val="00162E22"/>
    <w:rsid w:val="003E5F9F"/>
    <w:rsid w:val="00470473"/>
    <w:rsid w:val="005C3366"/>
    <w:rsid w:val="00813BB7"/>
    <w:rsid w:val="00C63286"/>
    <w:rsid w:val="00E5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