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C8" w:rsidRDefault="00D336C8" w:rsidP="00D336C8">
      <w:pPr>
        <w:widowControl w:val="0"/>
        <w:autoSpaceDE w:val="0"/>
        <w:autoSpaceDN w:val="0"/>
        <w:adjustRightInd w:val="0"/>
      </w:pPr>
      <w:bookmarkStart w:id="0" w:name="_GoBack"/>
      <w:bookmarkEnd w:id="0"/>
    </w:p>
    <w:p w:rsidR="00D336C8" w:rsidRDefault="000D6CBA" w:rsidP="00D336C8">
      <w:pPr>
        <w:widowControl w:val="0"/>
        <w:autoSpaceDE w:val="0"/>
        <w:autoSpaceDN w:val="0"/>
        <w:adjustRightInd w:val="0"/>
      </w:pPr>
      <w:r>
        <w:rPr>
          <w:b/>
          <w:bCs/>
        </w:rPr>
        <w:t>S</w:t>
      </w:r>
      <w:r w:rsidR="00D336C8">
        <w:rPr>
          <w:b/>
          <w:bCs/>
        </w:rPr>
        <w:t xml:space="preserve">ection </w:t>
      </w:r>
      <w:r w:rsidR="009A7314">
        <w:rPr>
          <w:b/>
          <w:bCs/>
        </w:rPr>
        <w:t>8</w:t>
      </w:r>
      <w:r w:rsidR="00D336C8">
        <w:rPr>
          <w:b/>
          <w:bCs/>
        </w:rPr>
        <w:t>.170  Alternative Dispute Resolution</w:t>
      </w:r>
      <w:r w:rsidR="00D336C8">
        <w:t xml:space="preserve"> </w:t>
      </w:r>
    </w:p>
    <w:p w:rsidR="00D336C8" w:rsidRDefault="00D336C8" w:rsidP="00D336C8">
      <w:pPr>
        <w:widowControl w:val="0"/>
        <w:autoSpaceDE w:val="0"/>
        <w:autoSpaceDN w:val="0"/>
        <w:adjustRightInd w:val="0"/>
      </w:pPr>
    </w:p>
    <w:p w:rsidR="00D336C8" w:rsidRDefault="00D336C8" w:rsidP="00D336C8">
      <w:pPr>
        <w:widowControl w:val="0"/>
        <w:autoSpaceDE w:val="0"/>
        <w:autoSpaceDN w:val="0"/>
        <w:adjustRightInd w:val="0"/>
      </w:pPr>
      <w:r>
        <w:t xml:space="preserve">To resolve disputes related to the performance of construction projects, whether in design phase or construction phase, the parties to the dispute shall utilize alternative dispute resolution methods as required by the contract or bid documents.  At a minimum, alternative dispute resolutions shall be a condition precedent to the filing of any court action valued in excess of $50,000.  This Section shall not apply to mechanics lien actions, unless the parties thereto so consent, nor to contract terminations, CDB's right to carry out the work, and non-project matters such as suspension of prequalification. </w:t>
      </w:r>
    </w:p>
    <w:sectPr w:rsidR="00D336C8" w:rsidSect="00D336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6C8"/>
    <w:rsid w:val="000D6CBA"/>
    <w:rsid w:val="001A3EAE"/>
    <w:rsid w:val="002E242B"/>
    <w:rsid w:val="005A6140"/>
    <w:rsid w:val="005C3366"/>
    <w:rsid w:val="006D44EC"/>
    <w:rsid w:val="009A7314"/>
    <w:rsid w:val="00B15628"/>
    <w:rsid w:val="00D3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