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B82A" w14:textId="77777777" w:rsidR="00EE66BD" w:rsidRPr="006671FB" w:rsidRDefault="00EE66BD" w:rsidP="00EE66BD">
      <w:pPr>
        <w:rPr>
          <w:b/>
          <w:bCs/>
        </w:rPr>
      </w:pPr>
    </w:p>
    <w:p w14:paraId="630D9E6B" w14:textId="37956A09" w:rsidR="00EE66BD" w:rsidRPr="006671FB" w:rsidRDefault="00EE66BD" w:rsidP="00EE66BD">
      <w:pPr>
        <w:rPr>
          <w:b/>
          <w:bCs/>
        </w:rPr>
      </w:pPr>
      <w:r w:rsidRPr="006671FB">
        <w:rPr>
          <w:b/>
          <w:bCs/>
        </w:rPr>
        <w:t>Section 6.10</w:t>
      </w:r>
      <w:r w:rsidR="00494478">
        <w:rPr>
          <w:b/>
          <w:bCs/>
        </w:rPr>
        <w:t>10</w:t>
      </w:r>
      <w:r w:rsidRPr="006671FB">
        <w:rPr>
          <w:b/>
          <w:bCs/>
        </w:rPr>
        <w:t xml:space="preserve">  Other Acts</w:t>
      </w:r>
    </w:p>
    <w:p w14:paraId="0BF317AE" w14:textId="77777777" w:rsidR="00EE66BD" w:rsidRPr="006671FB" w:rsidRDefault="00EE66BD" w:rsidP="00EE66BD"/>
    <w:p w14:paraId="1C836556" w14:textId="0557EC51" w:rsidR="00EE66BD" w:rsidRPr="006671FB" w:rsidRDefault="00EE66BD" w:rsidP="00EE66BD">
      <w:r w:rsidRPr="006671FB">
        <w:t xml:space="preserve">The CPO shall review procurements for compliance with </w:t>
      </w:r>
      <w:r w:rsidR="0062053F" w:rsidRPr="006671FB">
        <w:t xml:space="preserve">applicable Acts listed in </w:t>
      </w:r>
      <w:r w:rsidRPr="006671FB">
        <w:t>Section 30-45 of the Code. This review is governed by other agencies' responsibility for administration of those other Acts (e.g., for the Prevailing Wage Act</w:t>
      </w:r>
      <w:r w:rsidR="0062053F" w:rsidRPr="006671FB">
        <w:t xml:space="preserve"> [820 ILCS 130]</w:t>
      </w:r>
      <w:r w:rsidRPr="006671FB">
        <w:t>, the Department of Labor), and can include, but is not limited to, debarment, ineligibility status, or other sanctions as determined by a State agency under those Acts.</w:t>
      </w:r>
    </w:p>
    <w:p w14:paraId="087E26A6" w14:textId="07E03027" w:rsidR="000174EB" w:rsidRDefault="000174EB" w:rsidP="00EE66BD"/>
    <w:p w14:paraId="3EA3F5A6" w14:textId="7A810097" w:rsidR="00EE66BD" w:rsidRPr="00EE66BD" w:rsidRDefault="00EE66BD" w:rsidP="00EE66BD">
      <w:pPr>
        <w:ind w:left="720"/>
      </w:pPr>
      <w:r w:rsidRPr="00524821">
        <w:t>(Source:  Added at 4</w:t>
      </w:r>
      <w:r w:rsidR="00437467">
        <w:t>8</w:t>
      </w:r>
      <w:r w:rsidRPr="00524821">
        <w:t xml:space="preserve"> Ill. Reg. </w:t>
      </w:r>
      <w:r w:rsidR="002E44FF">
        <w:t>10137</w:t>
      </w:r>
      <w:r w:rsidRPr="00524821">
        <w:t xml:space="preserve">, effective </w:t>
      </w:r>
      <w:r w:rsidR="002E44FF">
        <w:t>July 1, 2024</w:t>
      </w:r>
      <w:r w:rsidRPr="00524821">
        <w:t>)</w:t>
      </w:r>
    </w:p>
    <w:sectPr w:rsidR="00EE66BD" w:rsidRPr="00EE66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7B11" w14:textId="77777777" w:rsidR="006B07EB" w:rsidRDefault="006B07EB">
      <w:r>
        <w:separator/>
      </w:r>
    </w:p>
  </w:endnote>
  <w:endnote w:type="continuationSeparator" w:id="0">
    <w:p w14:paraId="35DE2C41" w14:textId="77777777" w:rsidR="006B07EB" w:rsidRDefault="006B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6D2B" w14:textId="77777777" w:rsidR="006B07EB" w:rsidRDefault="006B07EB">
      <w:r>
        <w:separator/>
      </w:r>
    </w:p>
  </w:footnote>
  <w:footnote w:type="continuationSeparator" w:id="0">
    <w:p w14:paraId="129DDA4A" w14:textId="77777777" w:rsidR="006B07EB" w:rsidRDefault="006B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4F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46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478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53F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71FB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7EB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2F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99B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6B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E16F3"/>
  <w15:chartTrackingRefBased/>
  <w15:docId w15:val="{681F987B-D68D-4F86-9A9C-3974346B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2024-05-21T20:55:00Z</dcterms:created>
  <dcterms:modified xsi:type="dcterms:W3CDTF">2024-07-12T13:07:00Z</dcterms:modified>
</cp:coreProperties>
</file>