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90" w:rsidRDefault="00E65990" w:rsidP="00E65990"/>
    <w:p w:rsidR="00E65990" w:rsidRDefault="00E65990" w:rsidP="00E65990">
      <w:pPr>
        <w:rPr>
          <w:b/>
        </w:rPr>
      </w:pPr>
      <w:r w:rsidRPr="00842253">
        <w:rPr>
          <w:b/>
        </w:rPr>
        <w:t>Section 4.2033  Best Value Procurements</w:t>
      </w:r>
    </w:p>
    <w:p w:rsidR="00E65990" w:rsidRDefault="00E65990" w:rsidP="00E65990">
      <w:pPr>
        <w:rPr>
          <w:b/>
        </w:rPr>
      </w:pPr>
    </w:p>
    <w:p w:rsidR="00E65990" w:rsidRPr="00DD33D1" w:rsidRDefault="00E65990" w:rsidP="00E65990">
      <w:pPr>
        <w:ind w:left="1440" w:hanging="720"/>
        <w:rPr>
          <w:i/>
        </w:rPr>
      </w:pPr>
      <w:r w:rsidRPr="00D2440A">
        <w:t>a)</w:t>
      </w:r>
      <w:r w:rsidR="00B905CB" w:rsidRPr="00DD33D1">
        <w:rPr>
          <w:i/>
        </w:rPr>
        <w:tab/>
      </w:r>
      <w:r w:rsidRPr="00D2440A">
        <w:t>Definition</w:t>
      </w:r>
      <w:r w:rsidR="005A7E44">
        <w:t xml:space="preserve"> </w:t>
      </w:r>
      <w:r w:rsidR="00DD33D1" w:rsidRPr="00D2440A">
        <w:t>−</w:t>
      </w:r>
      <w:r w:rsidR="00DD33D1" w:rsidRPr="00DD33D1">
        <w:rPr>
          <w:i/>
        </w:rPr>
        <w:t xml:space="preserve"> </w:t>
      </w:r>
      <w:r w:rsidRPr="00DD33D1">
        <w:rPr>
          <w:i/>
        </w:rPr>
        <w:t>A best value procurement means a contract award determined by objective criteria related to price, features, functions, and life-cycle costs that may include:</w:t>
      </w:r>
    </w:p>
    <w:p w:rsidR="00E65990" w:rsidRPr="00DD33D1" w:rsidRDefault="00E65990" w:rsidP="00E65990">
      <w:pPr>
        <w:rPr>
          <w:i/>
        </w:rPr>
      </w:pPr>
    </w:p>
    <w:p w:rsidR="00E65990" w:rsidRPr="00DD33D1" w:rsidRDefault="00B905CB" w:rsidP="00B905CB">
      <w:pPr>
        <w:pStyle w:val="ListParagraph"/>
        <w:ind w:left="2160" w:hanging="720"/>
        <w:rPr>
          <w:i/>
        </w:rPr>
      </w:pPr>
      <w:r w:rsidRPr="00D2440A">
        <w:t>1)</w:t>
      </w:r>
      <w:r w:rsidRPr="00DD33D1">
        <w:rPr>
          <w:i/>
        </w:rPr>
        <w:tab/>
      </w:r>
      <w:r w:rsidR="00E65990" w:rsidRPr="00DD33D1">
        <w:rPr>
          <w:i/>
        </w:rPr>
        <w:t>total cost of ownership, including warranty, under which all repair costs are borne solely by the warranty provider; repair costs; maintenance costs; fuel consumption; and salvage value;</w:t>
      </w:r>
    </w:p>
    <w:p w:rsidR="00E65990" w:rsidRPr="00DD33D1" w:rsidRDefault="00E65990" w:rsidP="00E65990">
      <w:pPr>
        <w:pStyle w:val="ListParagraph"/>
        <w:ind w:left="2160"/>
        <w:rPr>
          <w:i/>
        </w:rPr>
      </w:pPr>
    </w:p>
    <w:p w:rsidR="00E65990" w:rsidRPr="00DD33D1" w:rsidRDefault="00B905CB" w:rsidP="00B905CB">
      <w:pPr>
        <w:pStyle w:val="ListParagraph"/>
        <w:ind w:left="2160" w:hanging="720"/>
        <w:rPr>
          <w:i/>
        </w:rPr>
      </w:pPr>
      <w:r w:rsidRPr="00D2440A">
        <w:t>2)</w:t>
      </w:r>
      <w:r w:rsidRPr="00DD33D1">
        <w:rPr>
          <w:i/>
        </w:rPr>
        <w:tab/>
      </w:r>
      <w:r w:rsidR="00E65990" w:rsidRPr="00DD33D1">
        <w:rPr>
          <w:i/>
        </w:rPr>
        <w:t xml:space="preserve">product performance, productivity, and safety standards; </w:t>
      </w:r>
    </w:p>
    <w:p w:rsidR="00E65990" w:rsidRPr="008F2CBB" w:rsidRDefault="00E65990" w:rsidP="008F2CBB">
      <w:pPr>
        <w:rPr>
          <w:i/>
        </w:rPr>
      </w:pPr>
    </w:p>
    <w:p w:rsidR="00E65990" w:rsidRPr="00DD33D1" w:rsidRDefault="00B905CB" w:rsidP="00B905CB">
      <w:pPr>
        <w:pStyle w:val="ListParagraph"/>
        <w:ind w:left="2160" w:hanging="720"/>
        <w:rPr>
          <w:i/>
        </w:rPr>
      </w:pPr>
      <w:r w:rsidRPr="00D2440A">
        <w:t>3)</w:t>
      </w:r>
      <w:r w:rsidRPr="00DD33D1">
        <w:rPr>
          <w:i/>
        </w:rPr>
        <w:tab/>
      </w:r>
      <w:r w:rsidR="00E65990" w:rsidRPr="00DD33D1">
        <w:rPr>
          <w:i/>
        </w:rPr>
        <w:t>the supplier</w:t>
      </w:r>
      <w:r w:rsidRPr="00DD33D1">
        <w:rPr>
          <w:i/>
        </w:rPr>
        <w:t>'</w:t>
      </w:r>
      <w:r w:rsidR="00E65990" w:rsidRPr="00DD33D1">
        <w:rPr>
          <w:i/>
        </w:rPr>
        <w:t>s ability to perform to the contract requirements; and</w:t>
      </w:r>
    </w:p>
    <w:p w:rsidR="00E65990" w:rsidRPr="008F2CBB" w:rsidRDefault="00E65990" w:rsidP="008F2CBB">
      <w:pPr>
        <w:rPr>
          <w:i/>
        </w:rPr>
      </w:pPr>
    </w:p>
    <w:p w:rsidR="00E65990" w:rsidRPr="00DD33D1" w:rsidRDefault="00E65990" w:rsidP="00E65990">
      <w:pPr>
        <w:ind w:left="2160" w:hanging="720"/>
        <w:rPr>
          <w:i/>
        </w:rPr>
      </w:pPr>
      <w:r w:rsidRPr="00D2440A">
        <w:t>4)</w:t>
      </w:r>
      <w:r w:rsidR="00B905CB" w:rsidRPr="00DD33D1">
        <w:rPr>
          <w:i/>
        </w:rPr>
        <w:tab/>
      </w:r>
      <w:r w:rsidRPr="00DD33D1">
        <w:rPr>
          <w:i/>
        </w:rPr>
        <w:t>environmental benefits, including reduction of greenhouse gas emissions, reduction of air pollutant emissions, or reduction of toxic or hazardous materials</w:t>
      </w:r>
      <w:r w:rsidRPr="00DD33D1">
        <w:t>.</w:t>
      </w:r>
    </w:p>
    <w:p w:rsidR="00E65990" w:rsidRPr="00DD33D1" w:rsidRDefault="00E65990" w:rsidP="00E65990">
      <w:pPr>
        <w:rPr>
          <w:i/>
        </w:rPr>
      </w:pPr>
    </w:p>
    <w:p w:rsidR="00E65990" w:rsidRPr="00DD33D1" w:rsidRDefault="00E65990" w:rsidP="00E65990">
      <w:pPr>
        <w:tabs>
          <w:tab w:val="left" w:pos="1440"/>
        </w:tabs>
        <w:ind w:left="1440" w:hanging="720"/>
        <w:rPr>
          <w:i/>
        </w:rPr>
      </w:pPr>
      <w:r w:rsidRPr="00D2440A">
        <w:t>b)</w:t>
      </w:r>
      <w:r w:rsidR="00B905CB" w:rsidRPr="00DD33D1">
        <w:rPr>
          <w:i/>
        </w:rPr>
        <w:tab/>
      </w:r>
      <w:r w:rsidRPr="00D2440A">
        <w:t>A best value source selection may only be used for</w:t>
      </w:r>
      <w:r w:rsidRPr="00DD33D1">
        <w:rPr>
          <w:i/>
        </w:rPr>
        <w:t xml:space="preserve"> purchases of heavy mobile fleet vehicles and off-road construction equipment.  The total annual value of vehicles and equipment purchased through the best value source selection</w:t>
      </w:r>
      <w:r w:rsidR="00DD33D1">
        <w:rPr>
          <w:i/>
        </w:rPr>
        <w:t xml:space="preserve"> shall</w:t>
      </w:r>
      <w:r w:rsidRPr="00DD33D1">
        <w:rPr>
          <w:i/>
        </w:rPr>
        <w:t xml:space="preserve"> not exceed $20,000,000 per university.</w:t>
      </w:r>
      <w:r w:rsidR="005A7E44">
        <w:rPr>
          <w:i/>
        </w:rPr>
        <w:t xml:space="preserve"> </w:t>
      </w:r>
      <w:r w:rsidR="00DD33D1" w:rsidRPr="00DD33D1">
        <w:t xml:space="preserve"> [30 ILCS 500/25-85]</w:t>
      </w:r>
      <w:r w:rsidR="001B1CC6">
        <w:t xml:space="preserve">  Each university shall track expenditures made under this method of source selection and shall report annually the cumulative value of these expenditures to the CPO-HE.</w:t>
      </w:r>
    </w:p>
    <w:p w:rsidR="00E65990" w:rsidRDefault="00E65990" w:rsidP="00E65990"/>
    <w:p w:rsidR="00E65990" w:rsidRDefault="00B905CB" w:rsidP="00B905CB">
      <w:pPr>
        <w:pStyle w:val="ListParagraph"/>
        <w:ind w:left="1440" w:hanging="720"/>
      </w:pPr>
      <w:r>
        <w:t>c)</w:t>
      </w:r>
      <w:r>
        <w:tab/>
      </w:r>
      <w:r w:rsidR="00E65990">
        <w:t>A best value procurement shall be conducted in accordance with Section 4.2015 (Competitive Sealed Proposals). In addition to the requirements of Section 4.2015, the solicitation document shall:</w:t>
      </w:r>
    </w:p>
    <w:p w:rsidR="00E65990" w:rsidRDefault="00E65990" w:rsidP="00E65990"/>
    <w:p w:rsidR="00E65990" w:rsidRDefault="00B905CB" w:rsidP="00B905CB">
      <w:pPr>
        <w:pStyle w:val="ListParagraph"/>
        <w:ind w:left="2160" w:hanging="720"/>
      </w:pPr>
      <w:r>
        <w:t>1)</w:t>
      </w:r>
      <w:r>
        <w:tab/>
      </w:r>
      <w:r w:rsidR="00E65990">
        <w:t xml:space="preserve">Specify what performance factors will be given weighted value.  </w:t>
      </w:r>
    </w:p>
    <w:p w:rsidR="00E65990" w:rsidRDefault="00E65990" w:rsidP="008F2CBB"/>
    <w:p w:rsidR="00E65990" w:rsidRDefault="00B905CB" w:rsidP="00B905CB">
      <w:pPr>
        <w:pStyle w:val="ListParagraph"/>
        <w:ind w:left="2160" w:hanging="720"/>
      </w:pPr>
      <w:r>
        <w:t>2)</w:t>
      </w:r>
      <w:r>
        <w:tab/>
      </w:r>
      <w:r w:rsidR="00E65990">
        <w:t xml:space="preserve">Identify all evaluation factors to be used in determining the successful offeror.  </w:t>
      </w:r>
    </w:p>
    <w:p w:rsidR="00E65990" w:rsidRDefault="00E65990" w:rsidP="008F2CBB"/>
    <w:p w:rsidR="00E65990" w:rsidRDefault="00E65990" w:rsidP="00E65990">
      <w:pPr>
        <w:ind w:left="2160" w:hanging="720"/>
      </w:pPr>
      <w:r>
        <w:t>3)</w:t>
      </w:r>
      <w:r w:rsidR="00B905CB">
        <w:tab/>
      </w:r>
      <w:r>
        <w:t>Give substantial weight to pricing in the evaluation of the successful offeror.</w:t>
      </w:r>
    </w:p>
    <w:p w:rsidR="00E65990" w:rsidRDefault="00E65990" w:rsidP="00E65990"/>
    <w:p w:rsidR="00E65990" w:rsidRDefault="00B905CB" w:rsidP="00B905CB">
      <w:pPr>
        <w:pStyle w:val="ListParagraph"/>
        <w:ind w:left="1440" w:hanging="720"/>
      </w:pPr>
      <w:r>
        <w:t>d)</w:t>
      </w:r>
      <w:r>
        <w:tab/>
      </w:r>
      <w:r w:rsidR="00E65990">
        <w:t>Award will be made to the offeror proposing the best combination of performance, qualifications, price and other factors identified in the evaluation criteria.</w:t>
      </w:r>
    </w:p>
    <w:p w:rsidR="00E65990" w:rsidRDefault="00E65990" w:rsidP="00E65990"/>
    <w:p w:rsidR="00E65990" w:rsidRDefault="00B905CB" w:rsidP="00B905CB">
      <w:pPr>
        <w:pStyle w:val="ListParagraph"/>
        <w:ind w:left="1440" w:hanging="720"/>
      </w:pPr>
      <w:r>
        <w:t>e)</w:t>
      </w:r>
      <w:r>
        <w:tab/>
      </w:r>
      <w:r w:rsidR="00E65990">
        <w:t xml:space="preserve">In addition to the publication requirements contained in Section 4.1525(d) (Bulletin Content), upon the written request of any person or entity </w:t>
      </w:r>
      <w:r w:rsidR="00DD33D1">
        <w:t>that</w:t>
      </w:r>
      <w:r w:rsidR="00E65990">
        <w:t xml:space="preserve"> submitted an offer, notice of award shall be posted 24 hours in advance of contract </w:t>
      </w:r>
      <w:r w:rsidR="00E65990">
        <w:lastRenderedPageBreak/>
        <w:t>execution in a public place at the offices of the university.  The solicitation document shall identify where the notice of award shall be posted.</w:t>
      </w:r>
    </w:p>
    <w:p w:rsidR="00E65990" w:rsidRDefault="00E65990" w:rsidP="00E65990"/>
    <w:p w:rsidR="00E65990" w:rsidRDefault="00B905CB" w:rsidP="00B905CB">
      <w:pPr>
        <w:pStyle w:val="ListParagraph"/>
        <w:ind w:left="1440" w:hanging="720"/>
      </w:pPr>
      <w:r>
        <w:t>f)</w:t>
      </w:r>
      <w:r>
        <w:tab/>
      </w:r>
      <w:r w:rsidR="00E65990">
        <w:t xml:space="preserve">Protests may be filed by any person or entity </w:t>
      </w:r>
      <w:r w:rsidR="00DD33D1">
        <w:t xml:space="preserve">that </w:t>
      </w:r>
      <w:r w:rsidR="00E65990">
        <w:t xml:space="preserve">submitted an offer and will be conducted in accordance with Section 4.5550 (Protests).  Within 10 days </w:t>
      </w:r>
      <w:r w:rsidR="00DD33D1">
        <w:t xml:space="preserve">after </w:t>
      </w:r>
      <w:r w:rsidR="00E65990">
        <w:t xml:space="preserve">filing a protest, the protesting offeror shall file a full and complete statement with the CPO-HE or Protest Review Officer identifying the grounds for the protest and any facts in support </w:t>
      </w:r>
      <w:r w:rsidR="00DD33D1">
        <w:t>of the protest</w:t>
      </w:r>
      <w:r w:rsidR="00E65990">
        <w:t>.</w:t>
      </w:r>
    </w:p>
    <w:p w:rsidR="00B905CB" w:rsidRDefault="00B905CB" w:rsidP="008F2CBB"/>
    <w:p w:rsidR="000174EB" w:rsidRPr="00093935" w:rsidRDefault="00B905CB" w:rsidP="00B905CB">
      <w:pPr>
        <w:ind w:left="720"/>
      </w:pPr>
      <w:r>
        <w:t>(Source:  A</w:t>
      </w:r>
      <w:r w:rsidR="008E144E">
        <w:t>d</w:t>
      </w:r>
      <w:r>
        <w:t>ded at 4</w:t>
      </w:r>
      <w:r w:rsidR="002E5DB8">
        <w:t>3</w:t>
      </w:r>
      <w:r>
        <w:t xml:space="preserve"> Ill. Reg. </w:t>
      </w:r>
      <w:r w:rsidR="00EE60FE">
        <w:t>1781</w:t>
      </w:r>
      <w:r>
        <w:t xml:space="preserve">, effective </w:t>
      </w:r>
      <w:bookmarkStart w:id="0" w:name="_GoBack"/>
      <w:r w:rsidR="00EE60FE">
        <w:t>February 15, 2019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7B6" w:rsidRDefault="00E547B6">
      <w:r>
        <w:separator/>
      </w:r>
    </w:p>
  </w:endnote>
  <w:endnote w:type="continuationSeparator" w:id="0">
    <w:p w:rsidR="00E547B6" w:rsidRDefault="00E5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7B6" w:rsidRDefault="00E547B6">
      <w:r>
        <w:separator/>
      </w:r>
    </w:p>
  </w:footnote>
  <w:footnote w:type="continuationSeparator" w:id="0">
    <w:p w:rsidR="00E547B6" w:rsidRDefault="00E5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A0113"/>
    <w:multiLevelType w:val="hybridMultilevel"/>
    <w:tmpl w:val="D1F07D56"/>
    <w:lvl w:ilvl="0" w:tplc="FD4ACE3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2C36328"/>
    <w:multiLevelType w:val="hybridMultilevel"/>
    <w:tmpl w:val="F3720908"/>
    <w:lvl w:ilvl="0" w:tplc="BEF0B1E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422B76"/>
    <w:multiLevelType w:val="hybridMultilevel"/>
    <w:tmpl w:val="104C729E"/>
    <w:lvl w:ilvl="0" w:tplc="2D4AF19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CC6"/>
    <w:rsid w:val="001B1D2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DB8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A7E44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144E"/>
    <w:rsid w:val="008E68BC"/>
    <w:rsid w:val="008F2BEE"/>
    <w:rsid w:val="008F2CBB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5CB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440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3D1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7B6"/>
    <w:rsid w:val="00E55DA9"/>
    <w:rsid w:val="00E563C3"/>
    <w:rsid w:val="00E613C3"/>
    <w:rsid w:val="00E6599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0FE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EF2CD-9508-4406-BB17-5CFC8427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9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E659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2019-01-31T21:07:00Z</dcterms:created>
  <dcterms:modified xsi:type="dcterms:W3CDTF">2019-02-11T22:22:00Z</dcterms:modified>
</cp:coreProperties>
</file>