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24D" w:rsidRDefault="0080124D" w:rsidP="0080124D">
      <w:pPr>
        <w:rPr>
          <w:b/>
          <w:bCs/>
        </w:rPr>
      </w:pPr>
      <w:bookmarkStart w:id="0" w:name="_GoBack"/>
      <w:bookmarkEnd w:id="0"/>
    </w:p>
    <w:p w:rsidR="0080124D" w:rsidRPr="008759DA" w:rsidRDefault="0080124D" w:rsidP="0080124D">
      <w:pPr>
        <w:rPr>
          <w:b/>
        </w:rPr>
      </w:pPr>
      <w:r w:rsidRPr="008759DA">
        <w:rPr>
          <w:b/>
          <w:bCs/>
        </w:rPr>
        <w:t xml:space="preserve">Section 1075.5030  </w:t>
      </w:r>
      <w:r w:rsidRPr="008759DA">
        <w:rPr>
          <w:b/>
        </w:rPr>
        <w:t xml:space="preserve">Issuance of Payday Loans </w:t>
      </w:r>
      <w:r w:rsidR="00140ED2">
        <w:rPr>
          <w:b/>
        </w:rPr>
        <w:t>b</w:t>
      </w:r>
      <w:r w:rsidRPr="008759DA">
        <w:rPr>
          <w:b/>
        </w:rPr>
        <w:t>y Savings Banks</w:t>
      </w:r>
    </w:p>
    <w:p w:rsidR="0080124D" w:rsidRPr="008759DA" w:rsidRDefault="0080124D" w:rsidP="0080124D">
      <w:pPr>
        <w:rPr>
          <w:b/>
        </w:rPr>
      </w:pPr>
    </w:p>
    <w:p w:rsidR="0080124D" w:rsidRPr="008759DA" w:rsidRDefault="0080124D" w:rsidP="0080124D">
      <w:pPr>
        <w:ind w:left="1440" w:hanging="720"/>
      </w:pPr>
      <w:r w:rsidRPr="008759DA">
        <w:t>a)</w:t>
      </w:r>
      <w:r>
        <w:tab/>
      </w:r>
      <w:r w:rsidRPr="008759DA">
        <w:t xml:space="preserve">A savings bank making a </w:t>
      </w:r>
      <w:r w:rsidR="00140ED2">
        <w:t>p</w:t>
      </w:r>
      <w:r w:rsidRPr="008759DA">
        <w:t xml:space="preserve">ayday </w:t>
      </w:r>
      <w:r w:rsidR="00140ED2">
        <w:t>l</w:t>
      </w:r>
      <w:r w:rsidRPr="008759DA">
        <w:t>oan shall satisfactorily address all safety and soundness considerations identified by the Division of Banking in its examination and supervision of the savings bank.  Safety and soundness considerations include, without limitation:</w:t>
      </w:r>
    </w:p>
    <w:p w:rsidR="0080124D" w:rsidRPr="008759DA" w:rsidRDefault="0080124D" w:rsidP="0080124D">
      <w:pPr>
        <w:ind w:left="1440" w:hanging="720"/>
      </w:pPr>
    </w:p>
    <w:p w:rsidR="0080124D" w:rsidRPr="008759DA" w:rsidRDefault="0080124D" w:rsidP="0080124D">
      <w:pPr>
        <w:ind w:left="2160" w:hanging="720"/>
      </w:pPr>
      <w:r w:rsidRPr="008759DA">
        <w:t>1)</w:t>
      </w:r>
      <w:r>
        <w:tab/>
      </w:r>
      <w:r w:rsidRPr="008759DA">
        <w:t xml:space="preserve">Risk-management practices for </w:t>
      </w:r>
      <w:r w:rsidR="00140ED2">
        <w:t>p</w:t>
      </w:r>
      <w:r w:rsidR="00140ED2" w:rsidRPr="008759DA">
        <w:t xml:space="preserve">ayday </w:t>
      </w:r>
      <w:r w:rsidR="00140ED2">
        <w:t>l</w:t>
      </w:r>
      <w:r w:rsidR="00140ED2" w:rsidRPr="008759DA">
        <w:t>oan</w:t>
      </w:r>
      <w:r w:rsidRPr="008759DA">
        <w:t xml:space="preserve"> activities, particularly with regard to concentrations of </w:t>
      </w:r>
      <w:r w:rsidR="00140ED2">
        <w:t>p</w:t>
      </w:r>
      <w:r w:rsidR="00140ED2" w:rsidRPr="008759DA">
        <w:t xml:space="preserve">ayday </w:t>
      </w:r>
      <w:r w:rsidR="00140ED2">
        <w:t>l</w:t>
      </w:r>
      <w:r w:rsidR="00140ED2" w:rsidRPr="008759DA">
        <w:t>oan</w:t>
      </w:r>
      <w:r w:rsidRPr="008759DA">
        <w:t>s;</w:t>
      </w:r>
    </w:p>
    <w:p w:rsidR="0080124D" w:rsidRPr="008759DA" w:rsidRDefault="0080124D" w:rsidP="0080124D">
      <w:pPr>
        <w:ind w:left="2160" w:hanging="720"/>
      </w:pPr>
    </w:p>
    <w:p w:rsidR="0080124D" w:rsidRPr="008759DA" w:rsidRDefault="0080124D" w:rsidP="0080124D">
      <w:pPr>
        <w:ind w:left="2160" w:hanging="720"/>
      </w:pPr>
      <w:r w:rsidRPr="008759DA">
        <w:t>2)</w:t>
      </w:r>
      <w:r>
        <w:tab/>
      </w:r>
      <w:r w:rsidRPr="008759DA">
        <w:t>Capital adequacy, depending on the level and volatility of risk;</w:t>
      </w:r>
    </w:p>
    <w:p w:rsidR="0080124D" w:rsidRPr="008759DA" w:rsidRDefault="0080124D" w:rsidP="0080124D">
      <w:pPr>
        <w:ind w:left="2160" w:hanging="720"/>
      </w:pPr>
    </w:p>
    <w:p w:rsidR="0080124D" w:rsidRPr="008759DA" w:rsidRDefault="0080124D" w:rsidP="0080124D">
      <w:pPr>
        <w:pStyle w:val="BodyTextIndent3"/>
        <w:spacing w:after="0"/>
        <w:ind w:left="2160" w:hanging="720"/>
        <w:rPr>
          <w:sz w:val="24"/>
          <w:szCs w:val="24"/>
        </w:rPr>
      </w:pPr>
      <w:r w:rsidRPr="008759DA">
        <w:rPr>
          <w:sz w:val="24"/>
          <w:szCs w:val="24"/>
        </w:rPr>
        <w:t>3)</w:t>
      </w:r>
      <w:r>
        <w:rPr>
          <w:sz w:val="24"/>
          <w:szCs w:val="24"/>
        </w:rPr>
        <w:tab/>
      </w:r>
      <w:r w:rsidRPr="008759DA">
        <w:rPr>
          <w:sz w:val="24"/>
          <w:szCs w:val="24"/>
        </w:rPr>
        <w:t>Allowance for loan losses to ensure the allowance is adequate to absorb estimated credit losses within the</w:t>
      </w:r>
      <w:r w:rsidRPr="00140ED2">
        <w:rPr>
          <w:sz w:val="24"/>
          <w:szCs w:val="24"/>
        </w:rPr>
        <w:t xml:space="preserve"> </w:t>
      </w:r>
      <w:r w:rsidR="00140ED2" w:rsidRPr="00140ED2">
        <w:rPr>
          <w:sz w:val="24"/>
          <w:szCs w:val="24"/>
        </w:rPr>
        <w:t xml:space="preserve">payday loan </w:t>
      </w:r>
      <w:r w:rsidRPr="00140ED2">
        <w:rPr>
          <w:sz w:val="24"/>
          <w:szCs w:val="24"/>
        </w:rPr>
        <w:t>p</w:t>
      </w:r>
      <w:r w:rsidRPr="008759DA">
        <w:rPr>
          <w:sz w:val="24"/>
          <w:szCs w:val="24"/>
        </w:rPr>
        <w:t>ortfolio;</w:t>
      </w:r>
    </w:p>
    <w:p w:rsidR="0080124D" w:rsidRPr="008759DA" w:rsidRDefault="0080124D" w:rsidP="0080124D">
      <w:pPr>
        <w:ind w:left="2160" w:hanging="720"/>
      </w:pPr>
    </w:p>
    <w:p w:rsidR="0080124D" w:rsidRPr="008759DA" w:rsidRDefault="0080124D" w:rsidP="0080124D">
      <w:pPr>
        <w:ind w:left="2160" w:hanging="720"/>
      </w:pPr>
      <w:r w:rsidRPr="008759DA">
        <w:t>4)</w:t>
      </w:r>
      <w:r>
        <w:tab/>
      </w:r>
      <w:r w:rsidRPr="008759DA">
        <w:t xml:space="preserve">Classification of </w:t>
      </w:r>
      <w:r w:rsidR="00140ED2">
        <w:t>p</w:t>
      </w:r>
      <w:r w:rsidR="00140ED2" w:rsidRPr="008759DA">
        <w:t xml:space="preserve">ayday </w:t>
      </w:r>
      <w:r w:rsidR="00140ED2">
        <w:t>l</w:t>
      </w:r>
      <w:r w:rsidR="00140ED2" w:rsidRPr="008759DA">
        <w:t>oan</w:t>
      </w:r>
      <w:r w:rsidRPr="008759DA">
        <w:t xml:space="preserve">s, given the unsecured nature of the credit and weakness of repayment capacity inherent in </w:t>
      </w:r>
      <w:r w:rsidR="00140ED2">
        <w:t>p</w:t>
      </w:r>
      <w:r w:rsidR="00140ED2" w:rsidRPr="008759DA">
        <w:t xml:space="preserve">ayday </w:t>
      </w:r>
      <w:r w:rsidR="00140ED2">
        <w:t>l</w:t>
      </w:r>
      <w:r w:rsidR="00140ED2" w:rsidRPr="008759DA">
        <w:t>oan</w:t>
      </w:r>
      <w:r w:rsidRPr="008759DA">
        <w:t>s; and</w:t>
      </w:r>
    </w:p>
    <w:p w:rsidR="0080124D" w:rsidRPr="008759DA" w:rsidRDefault="0080124D" w:rsidP="0080124D">
      <w:pPr>
        <w:ind w:left="2160" w:hanging="720"/>
      </w:pPr>
    </w:p>
    <w:p w:rsidR="0080124D" w:rsidRPr="008759DA" w:rsidRDefault="0080124D" w:rsidP="0080124D">
      <w:pPr>
        <w:ind w:left="2160" w:hanging="720"/>
      </w:pPr>
      <w:r w:rsidRPr="008759DA">
        <w:t>5)</w:t>
      </w:r>
      <w:r>
        <w:tab/>
      </w:r>
      <w:r w:rsidRPr="008759DA">
        <w:t>The establishment and maintenance of extension, deferral, renewal and rewrite standards consistent with the PLRA.</w:t>
      </w:r>
    </w:p>
    <w:p w:rsidR="0080124D" w:rsidRPr="008759DA" w:rsidRDefault="0080124D" w:rsidP="0080124D">
      <w:pPr>
        <w:ind w:left="1440" w:hanging="720"/>
      </w:pPr>
    </w:p>
    <w:p w:rsidR="0080124D" w:rsidRPr="008759DA" w:rsidRDefault="0080124D" w:rsidP="0080124D">
      <w:pPr>
        <w:ind w:left="1440" w:hanging="720"/>
      </w:pPr>
      <w:r w:rsidRPr="008759DA">
        <w:t>b)</w:t>
      </w:r>
      <w:r>
        <w:tab/>
      </w:r>
      <w:r w:rsidRPr="008759DA">
        <w:t xml:space="preserve">In the event the Division of Banking determines the </w:t>
      </w:r>
      <w:r w:rsidR="00140ED2">
        <w:t>savings bank</w:t>
      </w:r>
      <w:r>
        <w:t>'</w:t>
      </w:r>
      <w:r w:rsidRPr="008759DA">
        <w:t xml:space="preserve">s management of safety and soundness risks relating to its </w:t>
      </w:r>
      <w:r w:rsidR="00140ED2">
        <w:t>p</w:t>
      </w:r>
      <w:r w:rsidR="00140ED2" w:rsidRPr="008759DA">
        <w:t xml:space="preserve">ayday </w:t>
      </w:r>
      <w:r w:rsidR="00140ED2">
        <w:t>l</w:t>
      </w:r>
      <w:r w:rsidR="00140ED2" w:rsidRPr="008759DA">
        <w:t>oan</w:t>
      </w:r>
      <w:r w:rsidRPr="008759DA">
        <w:t xml:space="preserve"> portfolio is deficient, the Division of Banking may initiate corrective enforcement action, as authorized under the Savings Bank Act. </w:t>
      </w:r>
    </w:p>
    <w:p w:rsidR="00EB424E" w:rsidRDefault="00EB424E" w:rsidP="00935A8C"/>
    <w:p w:rsidR="0080124D" w:rsidRPr="00D55B37" w:rsidRDefault="0080124D">
      <w:pPr>
        <w:pStyle w:val="JCARSourceNote"/>
        <w:ind w:left="720"/>
      </w:pPr>
      <w:r w:rsidRPr="00D55B37">
        <w:t xml:space="preserve">(Source:  Added at </w:t>
      </w:r>
      <w:r>
        <w:t>30</w:t>
      </w:r>
      <w:r w:rsidRPr="00D55B37">
        <w:t xml:space="preserve"> Ill. Reg. </w:t>
      </w:r>
      <w:r w:rsidR="00AB4856">
        <w:t>19068</w:t>
      </w:r>
      <w:r w:rsidRPr="00D55B37">
        <w:t xml:space="preserve">, effective </w:t>
      </w:r>
      <w:r w:rsidR="00AB4856">
        <w:t>December 1, 2006</w:t>
      </w:r>
      <w:r w:rsidRPr="00D55B37">
        <w:t>)</w:t>
      </w:r>
    </w:p>
    <w:sectPr w:rsidR="0080124D"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A1A" w:rsidRDefault="003C7A1A">
      <w:r>
        <w:separator/>
      </w:r>
    </w:p>
  </w:endnote>
  <w:endnote w:type="continuationSeparator" w:id="0">
    <w:p w:rsidR="003C7A1A" w:rsidRDefault="003C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A1A" w:rsidRDefault="003C7A1A">
      <w:r>
        <w:separator/>
      </w:r>
    </w:p>
  </w:footnote>
  <w:footnote w:type="continuationSeparator" w:id="0">
    <w:p w:rsidR="003C7A1A" w:rsidRDefault="003C7A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14B45"/>
    <w:rsid w:val="00136B47"/>
    <w:rsid w:val="00140ED2"/>
    <w:rsid w:val="00150267"/>
    <w:rsid w:val="001C7D95"/>
    <w:rsid w:val="001E3074"/>
    <w:rsid w:val="00225354"/>
    <w:rsid w:val="002524EC"/>
    <w:rsid w:val="002A643F"/>
    <w:rsid w:val="00337CEB"/>
    <w:rsid w:val="00367A2E"/>
    <w:rsid w:val="003C7A1A"/>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24D"/>
    <w:rsid w:val="00801D20"/>
    <w:rsid w:val="00825C45"/>
    <w:rsid w:val="008271B1"/>
    <w:rsid w:val="00837F88"/>
    <w:rsid w:val="0084781C"/>
    <w:rsid w:val="00884021"/>
    <w:rsid w:val="008B4361"/>
    <w:rsid w:val="008D4EA0"/>
    <w:rsid w:val="00935A8C"/>
    <w:rsid w:val="0098276C"/>
    <w:rsid w:val="009C4011"/>
    <w:rsid w:val="009C4FD4"/>
    <w:rsid w:val="009D71C8"/>
    <w:rsid w:val="00A174BB"/>
    <w:rsid w:val="00A2265D"/>
    <w:rsid w:val="00A414BC"/>
    <w:rsid w:val="00A600AA"/>
    <w:rsid w:val="00A62F7E"/>
    <w:rsid w:val="00AB29C6"/>
    <w:rsid w:val="00AB485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124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80124D"/>
    <w:pPr>
      <w:spacing w:after="120"/>
      <w:ind w:left="360"/>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124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80124D"/>
    <w:pPr>
      <w:spacing w:after="120"/>
      <w:ind w:left="36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2012-06-21T23:38:00Z</dcterms:created>
  <dcterms:modified xsi:type="dcterms:W3CDTF">2012-06-21T23:38:00Z</dcterms:modified>
</cp:coreProperties>
</file>