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27" w:rsidRDefault="00952A27" w:rsidP="00952A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A27" w:rsidRDefault="00952A27" w:rsidP="00952A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1075.1985  Acquisitions of Control of a Converted Savings Bank</w:t>
      </w:r>
      <w:r>
        <w:t xml:space="preserve"> </w:t>
      </w:r>
    </w:p>
    <w:p w:rsidR="00952A27" w:rsidRDefault="00952A27" w:rsidP="00952A27">
      <w:pPr>
        <w:widowControl w:val="0"/>
        <w:autoSpaceDE w:val="0"/>
        <w:autoSpaceDN w:val="0"/>
        <w:adjustRightInd w:val="0"/>
      </w:pPr>
    </w:p>
    <w:p w:rsidR="00952A27" w:rsidRDefault="00952A27" w:rsidP="00952A27">
      <w:pPr>
        <w:widowControl w:val="0"/>
        <w:autoSpaceDE w:val="0"/>
        <w:autoSpaceDN w:val="0"/>
        <w:adjustRightInd w:val="0"/>
      </w:pPr>
      <w:r>
        <w:t xml:space="preserve">Acquisition of control of a converted savings bank shall be ineffective and void unless in accordance with Section 8015 of The Act and Section 1075.1700. </w:t>
      </w:r>
    </w:p>
    <w:p w:rsidR="00952A27" w:rsidRDefault="00952A27" w:rsidP="00952A27">
      <w:pPr>
        <w:widowControl w:val="0"/>
        <w:autoSpaceDE w:val="0"/>
        <w:autoSpaceDN w:val="0"/>
        <w:adjustRightInd w:val="0"/>
      </w:pPr>
    </w:p>
    <w:p w:rsidR="00952A27" w:rsidRDefault="00952A27" w:rsidP="00952A2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8894, effective June 7, 1993) </w:t>
      </w:r>
    </w:p>
    <w:sectPr w:rsidR="00952A27" w:rsidSect="00952A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A27"/>
    <w:rsid w:val="000E7795"/>
    <w:rsid w:val="005C3366"/>
    <w:rsid w:val="008C7C67"/>
    <w:rsid w:val="00941975"/>
    <w:rsid w:val="0095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