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9E" w:rsidRDefault="00C2709E" w:rsidP="00C270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09E" w:rsidRDefault="00C2709E" w:rsidP="00C270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1075.1300  Notice of Appointment of Independent Accountants</w:t>
      </w:r>
      <w:r>
        <w:t xml:space="preserve"> </w:t>
      </w:r>
    </w:p>
    <w:p w:rsidR="00C2709E" w:rsidRDefault="00C2709E" w:rsidP="00C2709E">
      <w:pPr>
        <w:widowControl w:val="0"/>
        <w:autoSpaceDE w:val="0"/>
        <w:autoSpaceDN w:val="0"/>
        <w:adjustRightInd w:val="0"/>
      </w:pPr>
    </w:p>
    <w:p w:rsidR="00C2709E" w:rsidRDefault="00C2709E" w:rsidP="00C270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shall be made to the </w:t>
      </w:r>
      <w:r w:rsidR="008859C7">
        <w:t xml:space="preserve">Director </w:t>
      </w:r>
      <w:r>
        <w:t xml:space="preserve">of the appointment of the licensed public accountant not less than 60 days before the fiscal year-end of the holding companies. Any change in the licensed public accountants shall be forwarded to the </w:t>
      </w:r>
      <w:r w:rsidR="008859C7">
        <w:t>Director</w:t>
      </w:r>
      <w:r>
        <w:t xml:space="preserve"> within 60 days </w:t>
      </w:r>
      <w:r w:rsidR="00694DDF">
        <w:t>after the</w:t>
      </w:r>
      <w:r>
        <w:t xml:space="preserve"> change along with a letter from the replaced accountant stating whether the change</w:t>
      </w:r>
      <w:r w:rsidR="008A1B40">
        <w:t>,</w:t>
      </w:r>
      <w:r>
        <w:t xml:space="preserve"> was the result of a dispute over the accounting treatment of a material matter. </w:t>
      </w:r>
    </w:p>
    <w:p w:rsidR="005C54E2" w:rsidRDefault="005C54E2" w:rsidP="00C2709E">
      <w:pPr>
        <w:widowControl w:val="0"/>
        <w:autoSpaceDE w:val="0"/>
        <w:autoSpaceDN w:val="0"/>
        <w:adjustRightInd w:val="0"/>
        <w:ind w:left="1440" w:hanging="720"/>
      </w:pPr>
    </w:p>
    <w:p w:rsidR="00C2709E" w:rsidRDefault="00C2709E" w:rsidP="00C270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the Annual Audit shall be filed, in triplicate, with the </w:t>
      </w:r>
      <w:r w:rsidR="008859C7">
        <w:t xml:space="preserve">Division </w:t>
      </w:r>
      <w:r>
        <w:t xml:space="preserve">of Banks and Real Estate within 90 days </w:t>
      </w:r>
      <w:r w:rsidR="00694DDF">
        <w:t>after</w:t>
      </w:r>
      <w:r>
        <w:t xml:space="preserve"> the fiscal year-end of the registrant. </w:t>
      </w:r>
    </w:p>
    <w:p w:rsidR="00105F4F" w:rsidRDefault="00105F4F" w:rsidP="00C2709E">
      <w:pPr>
        <w:widowControl w:val="0"/>
        <w:autoSpaceDE w:val="0"/>
        <w:autoSpaceDN w:val="0"/>
        <w:adjustRightInd w:val="0"/>
        <w:ind w:left="1440" w:hanging="720"/>
      </w:pPr>
    </w:p>
    <w:p w:rsidR="00105F4F" w:rsidRPr="00D55B37" w:rsidRDefault="00105F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009C8">
        <w:t>19068</w:t>
      </w:r>
      <w:r w:rsidRPr="00D55B37">
        <w:t xml:space="preserve">, effective </w:t>
      </w:r>
      <w:r w:rsidR="000009C8">
        <w:t>December 1, 2006</w:t>
      </w:r>
      <w:r w:rsidRPr="00D55B37">
        <w:t>)</w:t>
      </w:r>
    </w:p>
    <w:sectPr w:rsidR="00105F4F" w:rsidRPr="00D55B37" w:rsidSect="00C270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09E"/>
    <w:rsid w:val="000009C8"/>
    <w:rsid w:val="00105F4F"/>
    <w:rsid w:val="005C3366"/>
    <w:rsid w:val="005C54E2"/>
    <w:rsid w:val="00694DDF"/>
    <w:rsid w:val="008859C7"/>
    <w:rsid w:val="008A1B40"/>
    <w:rsid w:val="00A3040A"/>
    <w:rsid w:val="00A935F1"/>
    <w:rsid w:val="00B94592"/>
    <w:rsid w:val="00C2709E"/>
    <w:rsid w:val="00DB199E"/>
    <w:rsid w:val="00E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5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