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5F" w:rsidRDefault="00884D5F" w:rsidP="00884D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4D5F" w:rsidRDefault="00884D5F" w:rsidP="00884D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1075.735  </w:t>
      </w:r>
      <w:proofErr w:type="spellStart"/>
      <w:r>
        <w:rPr>
          <w:b/>
          <w:bCs/>
        </w:rPr>
        <w:t>Redesignation</w:t>
      </w:r>
      <w:proofErr w:type="spellEnd"/>
      <w:r>
        <w:rPr>
          <w:b/>
          <w:bCs/>
        </w:rPr>
        <w:t xml:space="preserve"> of Offices</w:t>
      </w:r>
      <w:r>
        <w:t xml:space="preserve"> </w:t>
      </w:r>
    </w:p>
    <w:p w:rsidR="00884D5F" w:rsidRDefault="00884D5F" w:rsidP="00884D5F">
      <w:pPr>
        <w:widowControl w:val="0"/>
        <w:autoSpaceDE w:val="0"/>
        <w:autoSpaceDN w:val="0"/>
        <w:adjustRightInd w:val="0"/>
      </w:pPr>
    </w:p>
    <w:p w:rsidR="00884D5F" w:rsidRDefault="00884D5F" w:rsidP="00884D5F">
      <w:pPr>
        <w:widowControl w:val="0"/>
        <w:autoSpaceDE w:val="0"/>
        <w:autoSpaceDN w:val="0"/>
        <w:adjustRightInd w:val="0"/>
      </w:pPr>
      <w:r>
        <w:t xml:space="preserve">A savings bank may designate an existing branch office as its main business office and designate its existing main business office as a branch office by submitting an appropriate bylaw amendment for approval. No other Sections in Subpart G of this Part shall apply to </w:t>
      </w:r>
      <w:proofErr w:type="spellStart"/>
      <w:r>
        <w:t>redesignation</w:t>
      </w:r>
      <w:proofErr w:type="spellEnd"/>
      <w:r>
        <w:t xml:space="preserve"> of offices. </w:t>
      </w:r>
    </w:p>
    <w:sectPr w:rsidR="00884D5F" w:rsidSect="00884D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D5F"/>
    <w:rsid w:val="005C3366"/>
    <w:rsid w:val="006B65FD"/>
    <w:rsid w:val="00884D5F"/>
    <w:rsid w:val="00AD04A0"/>
    <w:rsid w:val="00E4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