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8EE" w:rsidRDefault="002658EE" w:rsidP="002658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58EE" w:rsidRDefault="002658EE" w:rsidP="002658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1075.540  Vehicle/Automobile Loans</w:t>
      </w:r>
      <w:r>
        <w:t xml:space="preserve"> </w:t>
      </w:r>
    </w:p>
    <w:p w:rsidR="002658EE" w:rsidRDefault="002658EE" w:rsidP="002658EE">
      <w:pPr>
        <w:widowControl w:val="0"/>
        <w:autoSpaceDE w:val="0"/>
        <w:autoSpaceDN w:val="0"/>
        <w:adjustRightInd w:val="0"/>
      </w:pPr>
    </w:p>
    <w:p w:rsidR="002658EE" w:rsidRDefault="002658EE" w:rsidP="002658EE">
      <w:pPr>
        <w:widowControl w:val="0"/>
        <w:autoSpaceDE w:val="0"/>
        <w:autoSpaceDN w:val="0"/>
        <w:adjustRightInd w:val="0"/>
      </w:pPr>
      <w:r>
        <w:t xml:space="preserve">A savings bank may invest in loans, debts and advances of credit made for the purpose of financing vehicle/automobile purchases. </w:t>
      </w:r>
    </w:p>
    <w:p w:rsidR="000A543D" w:rsidRDefault="000A543D" w:rsidP="002658EE">
      <w:pPr>
        <w:widowControl w:val="0"/>
        <w:autoSpaceDE w:val="0"/>
        <w:autoSpaceDN w:val="0"/>
        <w:adjustRightInd w:val="0"/>
      </w:pPr>
    </w:p>
    <w:p w:rsidR="002658EE" w:rsidRDefault="002658EE" w:rsidP="006D72E6">
      <w:pPr>
        <w:widowControl w:val="0"/>
        <w:autoSpaceDE w:val="0"/>
        <w:autoSpaceDN w:val="0"/>
        <w:adjustRightInd w:val="0"/>
      </w:pPr>
      <w:r>
        <w:t xml:space="preserve">For the purposes of this Section, vehicles/automobiles shall include all motorized forms of transportation which the board of directors of a savings bank shall by written policy consider to be adequate collateral. </w:t>
      </w:r>
    </w:p>
    <w:sectPr w:rsidR="002658EE" w:rsidSect="002658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58EE"/>
    <w:rsid w:val="000A543D"/>
    <w:rsid w:val="002658EE"/>
    <w:rsid w:val="00404D27"/>
    <w:rsid w:val="00467975"/>
    <w:rsid w:val="005C3366"/>
    <w:rsid w:val="006D72E6"/>
    <w:rsid w:val="009D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