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56" w:rsidRDefault="00902456" w:rsidP="00902456">
      <w:bookmarkStart w:id="0" w:name="_GoBack"/>
      <w:bookmarkEnd w:id="0"/>
    </w:p>
    <w:p w:rsidR="00902456" w:rsidRPr="00902456" w:rsidRDefault="00902456" w:rsidP="00902456">
      <w:pPr>
        <w:rPr>
          <w:b/>
        </w:rPr>
      </w:pPr>
      <w:r w:rsidRPr="00902456">
        <w:rPr>
          <w:b/>
        </w:rPr>
        <w:t>Section 1050.1200  High Risk Home Loan Lending Practices; Applicability</w:t>
      </w:r>
    </w:p>
    <w:p w:rsidR="00902456" w:rsidRPr="00902456" w:rsidRDefault="00902456" w:rsidP="00902456"/>
    <w:p w:rsidR="00902456" w:rsidRPr="00902456" w:rsidRDefault="00902456" w:rsidP="00902456">
      <w:r w:rsidRPr="00902456">
        <w:t>Pursuant to Section 150 of the High Risk Home Loan Act [815 ILCS 137/150], Section 1050.1250</w:t>
      </w:r>
      <w:r w:rsidR="007F37A6">
        <w:t>,</w:t>
      </w:r>
      <w:r w:rsidRPr="00902456">
        <w:t xml:space="preserve"> to the extent it applies to high risk home loans</w:t>
      </w:r>
      <w:r w:rsidR="007F37A6">
        <w:t>,</w:t>
      </w:r>
      <w:r w:rsidRPr="00902456">
        <w:t xml:space="preserve"> and Sections 1050.1260, 1050.1270, 1050.1272, 1050.1275, 1050.1276; 1050.1277, 1050.1278 and 1050.1280 of this Subpart do not apply to loans closed on or after January 1, 2004.</w:t>
      </w:r>
    </w:p>
    <w:p w:rsidR="00902456" w:rsidRPr="00902456" w:rsidRDefault="00902456" w:rsidP="00902456"/>
    <w:p w:rsidR="00902456" w:rsidRPr="00D55B37" w:rsidRDefault="00C41058" w:rsidP="00C410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81830">
        <w:t>14808</w:t>
      </w:r>
      <w:r w:rsidRPr="00D55B37">
        <w:t xml:space="preserve">, effective </w:t>
      </w:r>
      <w:r w:rsidR="00281830">
        <w:t>September 26, 2005</w:t>
      </w:r>
      <w:r w:rsidRPr="00D55B37">
        <w:t>)</w:t>
      </w:r>
    </w:p>
    <w:sectPr w:rsidR="0090245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4F99">
      <w:r>
        <w:separator/>
      </w:r>
    </w:p>
  </w:endnote>
  <w:endnote w:type="continuationSeparator" w:id="0">
    <w:p w:rsidR="00000000" w:rsidRDefault="00C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4F99">
      <w:r>
        <w:separator/>
      </w:r>
    </w:p>
  </w:footnote>
  <w:footnote w:type="continuationSeparator" w:id="0">
    <w:p w:rsidR="00000000" w:rsidRDefault="00CB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2CB2"/>
    <w:rsid w:val="00281830"/>
    <w:rsid w:val="002860AF"/>
    <w:rsid w:val="002A643F"/>
    <w:rsid w:val="00337CEB"/>
    <w:rsid w:val="00367A2E"/>
    <w:rsid w:val="00375EB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F37A6"/>
    <w:rsid w:val="00801D20"/>
    <w:rsid w:val="00825C45"/>
    <w:rsid w:val="008271B1"/>
    <w:rsid w:val="00837F88"/>
    <w:rsid w:val="0084781C"/>
    <w:rsid w:val="008B4361"/>
    <w:rsid w:val="008D4EA0"/>
    <w:rsid w:val="0090245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0692"/>
    <w:rsid w:val="00B516F7"/>
    <w:rsid w:val="00B66925"/>
    <w:rsid w:val="00B71177"/>
    <w:rsid w:val="00B876EC"/>
    <w:rsid w:val="00BE0AFD"/>
    <w:rsid w:val="00BF5EF1"/>
    <w:rsid w:val="00C41058"/>
    <w:rsid w:val="00C4537A"/>
    <w:rsid w:val="00CB4F99"/>
    <w:rsid w:val="00CC13F9"/>
    <w:rsid w:val="00CD3723"/>
    <w:rsid w:val="00D55B37"/>
    <w:rsid w:val="00D55E74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