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6C" w:rsidRDefault="00832D6C" w:rsidP="00832D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2D6C" w:rsidRDefault="00832D6C" w:rsidP="00832D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1000.1480  Approval and Authorization</w:t>
      </w:r>
      <w:r>
        <w:t xml:space="preserve"> </w:t>
      </w:r>
    </w:p>
    <w:p w:rsidR="00832D6C" w:rsidRDefault="00832D6C" w:rsidP="00832D6C">
      <w:pPr>
        <w:widowControl w:val="0"/>
        <w:autoSpaceDE w:val="0"/>
        <w:autoSpaceDN w:val="0"/>
        <w:adjustRightInd w:val="0"/>
      </w:pPr>
    </w:p>
    <w:p w:rsidR="00832D6C" w:rsidRDefault="00832D6C" w:rsidP="00832D6C">
      <w:pPr>
        <w:widowControl w:val="0"/>
        <w:autoSpaceDE w:val="0"/>
        <w:autoSpaceDN w:val="0"/>
        <w:adjustRightInd w:val="0"/>
      </w:pPr>
      <w:r>
        <w:t xml:space="preserve">Prior to offering third-party accounts an association shall obtain the approval of the Director.  The following items must be submitted to the Director before authorization to issue third-party accounts will be given. </w:t>
      </w:r>
    </w:p>
    <w:p w:rsidR="00832D6C" w:rsidRDefault="00832D6C" w:rsidP="00832D6C">
      <w:pPr>
        <w:widowControl w:val="0"/>
        <w:autoSpaceDE w:val="0"/>
        <w:autoSpaceDN w:val="0"/>
        <w:adjustRightInd w:val="0"/>
      </w:pPr>
    </w:p>
    <w:p w:rsidR="00832D6C" w:rsidRDefault="00832D6C" w:rsidP="00832D6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fully executed copy of any clearing agreement between the association, its correspondent bank or banks and the Federal Reserve Bank. </w:t>
      </w:r>
    </w:p>
    <w:p w:rsidR="00832D6C" w:rsidRDefault="00832D6C" w:rsidP="00832D6C">
      <w:pPr>
        <w:widowControl w:val="0"/>
        <w:autoSpaceDE w:val="0"/>
        <w:autoSpaceDN w:val="0"/>
        <w:adjustRightInd w:val="0"/>
        <w:ind w:left="1440" w:hanging="720"/>
      </w:pPr>
    </w:p>
    <w:p w:rsidR="00832D6C" w:rsidRDefault="00832D6C" w:rsidP="00832D6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board of directors' resolution which authorizes the issuance and maintenance of third-party accounts and which also establishes the rules and regulations under which such accounts shall be administered. </w:t>
      </w:r>
    </w:p>
    <w:p w:rsidR="00EB424E" w:rsidRDefault="00EB424E" w:rsidP="00935A8C"/>
    <w:p w:rsidR="00832D6C" w:rsidRPr="00D55B37" w:rsidRDefault="00832D6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D716AD">
        <w:t>18990</w:t>
      </w:r>
      <w:r w:rsidRPr="00D55B37">
        <w:t xml:space="preserve">, effective </w:t>
      </w:r>
      <w:r w:rsidR="00D716AD">
        <w:t>December 1, 2006</w:t>
      </w:r>
      <w:r w:rsidRPr="00D55B37">
        <w:t>)</w:t>
      </w:r>
    </w:p>
    <w:sectPr w:rsidR="00832D6C" w:rsidRPr="00D55B37" w:rsidSect="00832D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B5" w:rsidRDefault="00A675B5">
      <w:r>
        <w:separator/>
      </w:r>
    </w:p>
  </w:endnote>
  <w:endnote w:type="continuationSeparator" w:id="0">
    <w:p w:rsidR="00A675B5" w:rsidRDefault="00A6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B5" w:rsidRDefault="00A675B5">
      <w:r>
        <w:separator/>
      </w:r>
    </w:p>
  </w:footnote>
  <w:footnote w:type="continuationSeparator" w:id="0">
    <w:p w:rsidR="00A675B5" w:rsidRDefault="00A67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14E20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6C6036"/>
    <w:rsid w:val="00776784"/>
    <w:rsid w:val="00780733"/>
    <w:rsid w:val="007D406F"/>
    <w:rsid w:val="008271B1"/>
    <w:rsid w:val="00832D6C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675B5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C2CB7"/>
    <w:rsid w:val="00CD3723"/>
    <w:rsid w:val="00CF350D"/>
    <w:rsid w:val="00D12F95"/>
    <w:rsid w:val="00D55B37"/>
    <w:rsid w:val="00D707FD"/>
    <w:rsid w:val="00D716A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2D6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2D6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