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52" w:rsidRDefault="00836252" w:rsidP="008362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252" w:rsidRDefault="00836252" w:rsidP="008362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1000.1470  Membership</w:t>
      </w:r>
      <w:r>
        <w:t xml:space="preserve"> </w:t>
      </w:r>
    </w:p>
    <w:p w:rsidR="00836252" w:rsidRDefault="00836252" w:rsidP="00836252">
      <w:pPr>
        <w:widowControl w:val="0"/>
        <w:autoSpaceDE w:val="0"/>
        <w:autoSpaceDN w:val="0"/>
        <w:adjustRightInd w:val="0"/>
      </w:pPr>
    </w:p>
    <w:p w:rsidR="00836252" w:rsidRDefault="00836252" w:rsidP="00836252">
      <w:pPr>
        <w:widowControl w:val="0"/>
        <w:autoSpaceDE w:val="0"/>
        <w:autoSpaceDN w:val="0"/>
        <w:adjustRightInd w:val="0"/>
      </w:pPr>
      <w:r>
        <w:t xml:space="preserve">It is not required that an association issue membership certificates to depositors in either type of third-party payment account. </w:t>
      </w:r>
    </w:p>
    <w:sectPr w:rsidR="00836252" w:rsidSect="00836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252"/>
    <w:rsid w:val="00090E6F"/>
    <w:rsid w:val="001F7F1E"/>
    <w:rsid w:val="003D6DC4"/>
    <w:rsid w:val="005C3366"/>
    <w:rsid w:val="008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