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23" w:rsidRDefault="00F46323" w:rsidP="00EE74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A:  FEES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1000.110</w:t>
      </w:r>
      <w:r>
        <w:tab/>
        <w:t xml:space="preserve">Filings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1000.120</w:t>
      </w:r>
      <w:r>
        <w:tab/>
        <w:t xml:space="preserve">Conditions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1000.130</w:t>
      </w:r>
      <w:r>
        <w:tab/>
        <w:t xml:space="preserve">Examination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1000.140</w:t>
      </w:r>
      <w:r>
        <w:tab/>
        <w:t xml:space="preserve">Annual Supervisory Fees (Repealed) </w:t>
      </w:r>
    </w:p>
    <w:p w:rsidR="00EE74D3" w:rsidRDefault="00293C3E" w:rsidP="00EE74D3">
      <w:pPr>
        <w:widowControl w:val="0"/>
        <w:autoSpaceDE w:val="0"/>
        <w:autoSpaceDN w:val="0"/>
        <w:adjustRightInd w:val="0"/>
      </w:pPr>
      <w:r>
        <w:t>1000.141</w:t>
      </w:r>
      <w:r>
        <w:tab/>
        <w:t>Supervisory Fees</w:t>
      </w:r>
    </w:p>
    <w:p w:rsidR="00EE74D3" w:rsidRDefault="00293C3E" w:rsidP="00EE74D3">
      <w:pPr>
        <w:widowControl w:val="0"/>
        <w:autoSpaceDE w:val="0"/>
        <w:autoSpaceDN w:val="0"/>
        <w:adjustRightInd w:val="0"/>
      </w:pPr>
      <w:r>
        <w:t>1000.142</w:t>
      </w:r>
      <w:r>
        <w:tab/>
        <w:t>Adjusted Supervisory Fees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1000.143</w:t>
      </w:r>
      <w:r>
        <w:tab/>
        <w:t xml:space="preserve">Special Assessment (Emergency Expired)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1000.150</w:t>
      </w:r>
      <w:r>
        <w:tab/>
        <w:t xml:space="preserve">Manner of Payment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1000.151</w:t>
      </w:r>
      <w:r>
        <w:tab/>
        <w:t xml:space="preserve">Special Credit (Repealed) </w:t>
      </w:r>
    </w:p>
    <w:p w:rsidR="00293C3E" w:rsidRDefault="00AD700C" w:rsidP="00EE74D3">
      <w:pPr>
        <w:widowControl w:val="0"/>
        <w:autoSpaceDE w:val="0"/>
        <w:autoSpaceDN w:val="0"/>
        <w:adjustRightInd w:val="0"/>
      </w:pPr>
      <w:r>
        <w:t>1000.160</w:t>
      </w:r>
      <w:r w:rsidR="006033AE">
        <w:tab/>
      </w:r>
      <w:r>
        <w:t xml:space="preserve">Withdrawal of Applications or Other Filings </w:t>
      </w:r>
    </w:p>
    <w:p w:rsidR="00AD700C" w:rsidRDefault="00AD700C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1000.205</w:t>
      </w:r>
      <w:r>
        <w:tab/>
        <w:t xml:space="preserve">Introduction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1000.210</w:t>
      </w:r>
      <w:r>
        <w:tab/>
        <w:t xml:space="preserve">Association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1000.220</w:t>
      </w:r>
      <w:r>
        <w:tab/>
      </w:r>
      <w:r w:rsidR="0064066C">
        <w:t>Director of Banking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1000.230</w:t>
      </w:r>
      <w:r>
        <w:tab/>
        <w:t xml:space="preserve">Single Family Dwelling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1000.240</w:t>
      </w:r>
      <w:r>
        <w:tab/>
        <w:t xml:space="preserve">Unsafe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1000.250</w:t>
      </w:r>
      <w:r>
        <w:tab/>
        <w:t xml:space="preserve">Mobile Home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1000.260</w:t>
      </w:r>
      <w:r>
        <w:tab/>
        <w:t xml:space="preserve">Mobile Home Chattel Paper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1000.270</w:t>
      </w:r>
      <w:r>
        <w:tab/>
        <w:t xml:space="preserve">Person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1000.280</w:t>
      </w:r>
      <w:r>
        <w:tab/>
        <w:t xml:space="preserve">Proposed Borrower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1000.290</w:t>
      </w:r>
      <w:r>
        <w:tab/>
        <w:t xml:space="preserve">Redlining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C:  REPORTS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1000.310</w:t>
      </w:r>
      <w:r>
        <w:tab/>
        <w:t xml:space="preserve">Contracts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D:  OPERATIONS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1000.410</w:t>
      </w:r>
      <w:r>
        <w:tab/>
        <w:t xml:space="preserve">Permanent Reserve Shares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1000.420</w:t>
      </w:r>
      <w:r>
        <w:tab/>
        <w:t xml:space="preserve">Dividend Advertising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1000.430</w:t>
      </w:r>
      <w:r>
        <w:tab/>
        <w:t xml:space="preserve">Maintenance of Records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1000.440</w:t>
      </w:r>
      <w:r>
        <w:tab/>
        <w:t xml:space="preserve">Business Plan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E:  APPRAISALS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1000.510</w:t>
      </w:r>
      <w:r>
        <w:tab/>
        <w:t xml:space="preserve">Appraisals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F:  INVESTMENTS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1000.610</w:t>
      </w:r>
      <w:r>
        <w:tab/>
        <w:t xml:space="preserve">Prudent Person Rule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1000.615</w:t>
      </w:r>
      <w:r>
        <w:tab/>
        <w:t xml:space="preserve">Investment Underwriting Practices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1000.620</w:t>
      </w:r>
      <w:r>
        <w:tab/>
        <w:t xml:space="preserve">Discrimination and Redlining Prohibited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1000.630</w:t>
      </w:r>
      <w:r>
        <w:tab/>
        <w:t xml:space="preserve">Loans Secured by Real Estate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1000.640</w:t>
      </w:r>
      <w:r>
        <w:tab/>
        <w:t xml:space="preserve">Construction Loans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1000.650</w:t>
      </w:r>
      <w:r>
        <w:tab/>
        <w:t xml:space="preserve">College Loans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1000.660</w:t>
      </w:r>
      <w:r>
        <w:tab/>
        <w:t xml:space="preserve">Mobile Home Financing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1000.665</w:t>
      </w:r>
      <w:r>
        <w:tab/>
        <w:t xml:space="preserve">Other Loans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1000.670</w:t>
      </w:r>
      <w:r>
        <w:tab/>
        <w:t xml:space="preserve">Collateral Loans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1000.675</w:t>
      </w:r>
      <w:r>
        <w:tab/>
        <w:t xml:space="preserve">Investment Parity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1000.680</w:t>
      </w:r>
      <w:r>
        <w:tab/>
        <w:t xml:space="preserve">Unsecured Loans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1000.690</w:t>
      </w:r>
      <w:r>
        <w:tab/>
        <w:t xml:space="preserve">Sale of Loans and Participations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1000.700</w:t>
      </w:r>
      <w:r>
        <w:tab/>
        <w:t xml:space="preserve">Insider Loan Rates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1000.710</w:t>
      </w:r>
      <w:r>
        <w:tab/>
        <w:t xml:space="preserve">Reverse Mortgage Loans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1000.720</w:t>
      </w:r>
      <w:r>
        <w:tab/>
        <w:t xml:space="preserve">Repurchase Agreements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G:  BONUS PLANS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1000.810</w:t>
      </w:r>
      <w:r>
        <w:tab/>
        <w:t xml:space="preserve">Bonus Plans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 xml:space="preserve">SUBPART H:  NOTICE TO </w:t>
      </w:r>
      <w:r w:rsidR="0064066C">
        <w:t>DIRECTOR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1000.910</w:t>
      </w:r>
      <w:r>
        <w:tab/>
        <w:t xml:space="preserve">Corrective Action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I:  SERVICE CORPORATIONS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1000.1010</w:t>
      </w:r>
      <w:r>
        <w:tab/>
        <w:t xml:space="preserve">Requirements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1000.1020</w:t>
      </w:r>
      <w:r>
        <w:tab/>
        <w:t xml:space="preserve">Approval by the </w:t>
      </w:r>
      <w:r w:rsidR="0064066C">
        <w:t>Director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1000.1030</w:t>
      </w:r>
      <w:r>
        <w:tab/>
        <w:t xml:space="preserve">Lending Limitations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1000.1040</w:t>
      </w:r>
      <w:r>
        <w:tab/>
        <w:t xml:space="preserve">Investments by Service Corporations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1000.1050</w:t>
      </w:r>
      <w:r>
        <w:tab/>
        <w:t xml:space="preserve">Ownership of Capital Stock of Service Corporation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1000.1060</w:t>
      </w:r>
      <w:r>
        <w:tab/>
        <w:t xml:space="preserve">Prohibited Transactions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1000.1070</w:t>
      </w:r>
      <w:r>
        <w:tab/>
        <w:t xml:space="preserve">Disclosure to Service Corporation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1000.1080</w:t>
      </w:r>
      <w:r>
        <w:tab/>
        <w:t xml:space="preserve">Reporting Requirements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1000.1090</w:t>
      </w:r>
      <w:r>
        <w:tab/>
        <w:t xml:space="preserve">Audit Requirements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J:  RELOCATIONS AND BRANCHING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lastRenderedPageBreak/>
        <w:t>1000.1110</w:t>
      </w:r>
      <w:r>
        <w:tab/>
        <w:t xml:space="preserve">General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1000.1120</w:t>
      </w:r>
      <w:r>
        <w:tab/>
        <w:t xml:space="preserve">Application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1000.1130</w:t>
      </w:r>
      <w:r>
        <w:tab/>
        <w:t xml:space="preserve">Request for Preliminary Determination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1000.1140</w:t>
      </w:r>
      <w:r>
        <w:tab/>
        <w:t xml:space="preserve">Amendment of Application (Repealed)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1000.1150</w:t>
      </w:r>
      <w:r>
        <w:tab/>
        <w:t xml:space="preserve">Public Notice and Inspection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1000.1160</w:t>
      </w:r>
      <w:r>
        <w:tab/>
        <w:t xml:space="preserve">Protest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1000.1170</w:t>
      </w:r>
      <w:r>
        <w:tab/>
        <w:t xml:space="preserve">Oral Argument </w:t>
      </w:r>
    </w:p>
    <w:p w:rsidR="00293C3E" w:rsidRDefault="00293C3E" w:rsidP="002159D0">
      <w:pPr>
        <w:widowControl w:val="0"/>
        <w:autoSpaceDE w:val="0"/>
        <w:autoSpaceDN w:val="0"/>
        <w:adjustRightInd w:val="0"/>
        <w:ind w:left="1440" w:hanging="1440"/>
      </w:pPr>
      <w:r>
        <w:t>1000.1180</w:t>
      </w:r>
      <w:r>
        <w:tab/>
        <w:t xml:space="preserve">Application for and Maintenance of Branch Office after Conversion, Consolidation, Purchase of Assets or Merger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1000.1190</w:t>
      </w:r>
      <w:r>
        <w:tab/>
        <w:t xml:space="preserve">Redesignation of Offices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1000.1200</w:t>
      </w:r>
      <w:r>
        <w:tab/>
        <w:t xml:space="preserve">Termination of Operation and/or Closing of a Branch Office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1000.1210</w:t>
      </w:r>
      <w:r>
        <w:tab/>
        <w:t xml:space="preserve">Agency Offices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1000.1220</w:t>
      </w:r>
      <w:r>
        <w:tab/>
        <w:t xml:space="preserve">Remote Drive-In and/or Remote Pedestrian Facilities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K:  CAPITAL NOTES AND DEBENTURES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1000.1310</w:t>
      </w:r>
      <w:r>
        <w:tab/>
        <w:t xml:space="preserve">Approval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1000.1320</w:t>
      </w:r>
      <w:r>
        <w:tab/>
        <w:t xml:space="preserve">Conversion to Stock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1000.1330</w:t>
      </w:r>
      <w:r>
        <w:tab/>
        <w:t xml:space="preserve">Priority of Claim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1000.1340</w:t>
      </w:r>
      <w:r>
        <w:tab/>
        <w:t xml:space="preserve">Effect on Reserve Requirements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L:  THIRD-PARTY PAYMENT ACCOUNTS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1000.1410</w:t>
      </w:r>
      <w:r>
        <w:tab/>
        <w:t xml:space="preserve">General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1000.1420</w:t>
      </w:r>
      <w:r>
        <w:tab/>
        <w:t xml:space="preserve">Depositors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1000.1430</w:t>
      </w:r>
      <w:r>
        <w:tab/>
        <w:t xml:space="preserve">Rate of Interest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1000.1440</w:t>
      </w:r>
      <w:r>
        <w:tab/>
        <w:t xml:space="preserve">Overdraft Privilege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1000.1450</w:t>
      </w:r>
      <w:r>
        <w:tab/>
        <w:t xml:space="preserve">Charges and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1000.1460</w:t>
      </w:r>
      <w:r>
        <w:tab/>
        <w:t xml:space="preserve">Disclosure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1000.1470</w:t>
      </w:r>
      <w:r>
        <w:tab/>
        <w:t xml:space="preserve">Membership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1000.1480</w:t>
      </w:r>
      <w:r>
        <w:tab/>
        <w:t xml:space="preserve">Approval and Authorization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M:  ADMINISTRATIVE HEARING PROCEDURES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1000.1510</w:t>
      </w:r>
      <w:r>
        <w:tab/>
        <w:t xml:space="preserve">Applicability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1000.1520</w:t>
      </w:r>
      <w:r>
        <w:tab/>
        <w:t xml:space="preserve">Definitions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1000.1530</w:t>
      </w:r>
      <w:r>
        <w:tab/>
        <w:t xml:space="preserve">Filing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1000.1540</w:t>
      </w:r>
      <w:r>
        <w:tab/>
        <w:t xml:space="preserve">Form of Documents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1000.1550</w:t>
      </w:r>
      <w:r>
        <w:tab/>
        <w:t xml:space="preserve">Computation of Time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1000.1560</w:t>
      </w:r>
      <w:r>
        <w:tab/>
        <w:t xml:space="preserve">Appearances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1000.1570</w:t>
      </w:r>
      <w:r>
        <w:tab/>
        <w:t xml:space="preserve">Notice of Hearing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1000.1580</w:t>
      </w:r>
      <w:r>
        <w:tab/>
        <w:t xml:space="preserve">Service of the Notice of Hearing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1000.1590</w:t>
      </w:r>
      <w:r>
        <w:tab/>
        <w:t xml:space="preserve">Motion and Answer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1000.1600</w:t>
      </w:r>
      <w:r>
        <w:tab/>
        <w:t xml:space="preserve">Consolidation and Severance of Matters </w:t>
      </w:r>
      <w:r w:rsidR="002159D0">
        <w:t>−</w:t>
      </w:r>
      <w:r>
        <w:t xml:space="preserve"> Additional Parties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1000.1610</w:t>
      </w:r>
      <w:r>
        <w:tab/>
        <w:t xml:space="preserve">Intervention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1000.1620</w:t>
      </w:r>
      <w:r>
        <w:tab/>
        <w:t xml:space="preserve">Postponement or Continuance of Hearing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1000.1630</w:t>
      </w:r>
      <w:r>
        <w:tab/>
        <w:t xml:space="preserve">Authority of Hearing Officer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1000.1640</w:t>
      </w:r>
      <w:r>
        <w:tab/>
        <w:t xml:space="preserve">Bias or Disqualification of Hearing Officer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1000.1650</w:t>
      </w:r>
      <w:r>
        <w:tab/>
        <w:t xml:space="preserve">Prehearing Conferences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1000.1660</w:t>
      </w:r>
      <w:r>
        <w:tab/>
        <w:t xml:space="preserve">Discovery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1000.1670</w:t>
      </w:r>
      <w:r>
        <w:tab/>
        <w:t xml:space="preserve">Subpoenas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1000.1680</w:t>
      </w:r>
      <w:r>
        <w:tab/>
        <w:t xml:space="preserve">Conduct of the Hearing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1000.1690</w:t>
      </w:r>
      <w:r>
        <w:tab/>
        <w:t xml:space="preserve">Default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1000.1700</w:t>
      </w:r>
      <w:r>
        <w:tab/>
        <w:t xml:space="preserve">Evidence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1000.1710</w:t>
      </w:r>
      <w:r>
        <w:tab/>
        <w:t xml:space="preserve">Official Notice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1000.1720</w:t>
      </w:r>
      <w:r>
        <w:tab/>
        <w:t xml:space="preserve">Hostile Witnesses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1000.1730</w:t>
      </w:r>
      <w:r>
        <w:tab/>
        <w:t xml:space="preserve">Transcription of Proceedings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1000.1740</w:t>
      </w:r>
      <w:r>
        <w:tab/>
        <w:t xml:space="preserve">Briefs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1000.1750</w:t>
      </w:r>
      <w:r>
        <w:tab/>
        <w:t xml:space="preserve">Hearing Officer's Findings, Opinions and Recommendations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1000.1760</w:t>
      </w:r>
      <w:r>
        <w:tab/>
        <w:t xml:space="preserve">Order of the </w:t>
      </w:r>
      <w:r w:rsidR="0064066C">
        <w:t>Director</w:t>
      </w:r>
      <w:r>
        <w:t xml:space="preserve">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1000.1770</w:t>
      </w:r>
      <w:r>
        <w:tab/>
      </w:r>
      <w:proofErr w:type="spellStart"/>
      <w:r>
        <w:t>Rehearings</w:t>
      </w:r>
      <w:proofErr w:type="spellEnd"/>
      <w:r>
        <w:t xml:space="preserve">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1000.1780</w:t>
      </w:r>
      <w:r>
        <w:tab/>
        <w:t xml:space="preserve">Existing Statutory or </w:t>
      </w:r>
      <w:r w:rsidR="0064066C">
        <w:t>Division</w:t>
      </w:r>
      <w:r>
        <w:t xml:space="preserve"> Procedures and Practices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1000.1790</w:t>
      </w:r>
      <w:r>
        <w:tab/>
        <w:t xml:space="preserve">Costs of Hearing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N:  SAVINGS AND LOAN HOLDING COMPANIES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1000.1800</w:t>
      </w:r>
      <w:r>
        <w:tab/>
        <w:t xml:space="preserve">Applicability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1000.1810</w:t>
      </w:r>
      <w:r>
        <w:tab/>
        <w:t xml:space="preserve">Plain Meaning/Strict Interpretation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1000.1905</w:t>
      </w:r>
      <w:r>
        <w:tab/>
        <w:t xml:space="preserve">Affiliate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1000.1910</w:t>
      </w:r>
      <w:r>
        <w:tab/>
        <w:t xml:space="preserve">Assets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1000.1915</w:t>
      </w:r>
      <w:r>
        <w:tab/>
        <w:t xml:space="preserve">Books of Record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1000.1920</w:t>
      </w:r>
      <w:r>
        <w:tab/>
        <w:t xml:space="preserve">Capital Stock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1000.1925</w:t>
      </w:r>
      <w:r>
        <w:tab/>
        <w:t xml:space="preserve">Charter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1000.1930</w:t>
      </w:r>
      <w:r>
        <w:tab/>
        <w:t xml:space="preserve">Control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1000.1935</w:t>
      </w:r>
      <w:r>
        <w:tab/>
        <w:t xml:space="preserve">Eligible Account Holder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1000.1940</w:t>
      </w:r>
      <w:r>
        <w:tab/>
        <w:t xml:space="preserve">Eligibility Record Date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1000.1945</w:t>
      </w:r>
      <w:r>
        <w:tab/>
        <w:t xml:space="preserve">Employee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1000.1950</w:t>
      </w:r>
      <w:r>
        <w:tab/>
        <w:t xml:space="preserve">Equity Security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1000.1955</w:t>
      </w:r>
      <w:r>
        <w:tab/>
        <w:t xml:space="preserve">Insured Institution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1000.1970</w:t>
      </w:r>
      <w:r>
        <w:tab/>
        <w:t xml:space="preserve">Member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1000.1972</w:t>
      </w:r>
      <w:r>
        <w:tab/>
        <w:t xml:space="preserve">Net Worth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1000.1975</w:t>
      </w:r>
      <w:r>
        <w:tab/>
        <w:t xml:space="preserve">Officer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1000.1980</w:t>
      </w:r>
      <w:r>
        <w:tab/>
        <w:t xml:space="preserve">Person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1000.1982</w:t>
      </w:r>
      <w:r>
        <w:tab/>
        <w:t xml:space="preserve">Qualifying Deposit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1000.1985</w:t>
      </w:r>
      <w:r>
        <w:tab/>
        <w:t xml:space="preserve">Sale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1000.1990</w:t>
      </w:r>
      <w:r>
        <w:tab/>
        <w:t xml:space="preserve">Security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1000.1993</w:t>
      </w:r>
      <w:r>
        <w:tab/>
        <w:t xml:space="preserve">Source Documents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1000.1997</w:t>
      </w:r>
      <w:r>
        <w:tab/>
        <w:t xml:space="preserve">Subsidiary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1000.2005</w:t>
      </w:r>
      <w:r>
        <w:tab/>
        <w:t xml:space="preserve">Liquidation Account and Proxies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1000.2010</w:t>
      </w:r>
      <w:r>
        <w:tab/>
        <w:t xml:space="preserve">Mutual Holding Company Ceasing to be a Depository Institution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1000.2020</w:t>
      </w:r>
      <w:r>
        <w:tab/>
        <w:t xml:space="preserve">Directors of a Mutual Holding Company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1000.2030</w:t>
      </w:r>
      <w:r>
        <w:tab/>
        <w:t xml:space="preserve">Stock Sales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1000.2040</w:t>
      </w:r>
      <w:r>
        <w:tab/>
        <w:t xml:space="preserve">Stock of a Subsidiary of a Mutual Holding Company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1000.2050</w:t>
      </w:r>
      <w:r>
        <w:tab/>
        <w:t xml:space="preserve">Stock Subsidiary Formation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1000.2055</w:t>
      </w:r>
      <w:r>
        <w:tab/>
        <w:t xml:space="preserve">Net Worth Maintenance Agreement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1000.2060</w:t>
      </w:r>
      <w:r>
        <w:tab/>
        <w:t xml:space="preserve">Members' Rights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1000.2070</w:t>
      </w:r>
      <w:r>
        <w:tab/>
        <w:t xml:space="preserve">Investment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1000.2105</w:t>
      </w:r>
      <w:r>
        <w:tab/>
        <w:t xml:space="preserve">Notice Requirement/Corrective Action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1000.2110</w:t>
      </w:r>
      <w:r>
        <w:tab/>
        <w:t xml:space="preserve">Insider Abuses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1000.2120</w:t>
      </w:r>
      <w:r>
        <w:tab/>
        <w:t xml:space="preserve">Penalty (Emergency Expired)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1000.2200</w:t>
      </w:r>
      <w:r>
        <w:tab/>
        <w:t xml:space="preserve">Determination of the Qualification and Condition of an Out-of-State Acquisition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1000.2300</w:t>
      </w:r>
      <w:r>
        <w:tab/>
        <w:t xml:space="preserve">Disposal of a Subsidiary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1000.2310</w:t>
      </w:r>
      <w:r>
        <w:tab/>
        <w:t xml:space="preserve">Dividends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1000.2320</w:t>
      </w:r>
      <w:r>
        <w:tab/>
        <w:t xml:space="preserve">Officers and Directors List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1000.2330</w:t>
      </w:r>
      <w:r>
        <w:tab/>
        <w:t xml:space="preserve">Access to Books and Records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1000.2340</w:t>
      </w:r>
      <w:r>
        <w:tab/>
        <w:t xml:space="preserve">Reports (Emergency Expired)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1000.2400</w:t>
      </w:r>
      <w:r>
        <w:tab/>
        <w:t xml:space="preserve">Annual Audit Requirements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1000.2410</w:t>
      </w:r>
      <w:r>
        <w:tab/>
        <w:t xml:space="preserve">Maintenance of Records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1000.2420</w:t>
      </w:r>
      <w:r>
        <w:tab/>
        <w:t xml:space="preserve">Notice of Appointment of CPA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1000.2500</w:t>
      </w:r>
      <w:r>
        <w:tab/>
        <w:t xml:space="preserve">Savings and Loan Holding Company Filing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1000.2510</w:t>
      </w:r>
      <w:r>
        <w:tab/>
        <w:t xml:space="preserve">Savings and Loan Holding Company Supervisory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1000.2520</w:t>
      </w:r>
      <w:r>
        <w:tab/>
        <w:t xml:space="preserve">Examination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1000.2530</w:t>
      </w:r>
      <w:r>
        <w:tab/>
        <w:t xml:space="preserve">Conditions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1000.2540</w:t>
      </w:r>
      <w:r>
        <w:tab/>
        <w:t xml:space="preserve">Manner of Payment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1000.2550</w:t>
      </w:r>
      <w:r>
        <w:tab/>
        <w:t xml:space="preserve">Transformation from Deposit to Non-Deposit (Emergency Expired)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O:  SAVINGS AND LOAN ADVISORY BOARD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1000.2700</w:t>
      </w:r>
      <w:r>
        <w:tab/>
        <w:t xml:space="preserve">Purpose </w:t>
      </w:r>
      <w:r w:rsidR="00F36560">
        <w:t>(Repealed)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1000.2710</w:t>
      </w:r>
      <w:r>
        <w:tab/>
        <w:t xml:space="preserve">Composition, Appointment </w:t>
      </w:r>
      <w:r w:rsidR="00F36560">
        <w:t>(Repealed)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  <w:r>
        <w:t>SUBPART P:  HIGH RISK HOME LOANS</w:t>
      </w:r>
    </w:p>
    <w:p w:rsidR="00293C3E" w:rsidRDefault="00293C3E" w:rsidP="00EE74D3">
      <w:pPr>
        <w:widowControl w:val="0"/>
        <w:autoSpaceDE w:val="0"/>
        <w:autoSpaceDN w:val="0"/>
        <w:adjustRightInd w:val="0"/>
        <w:jc w:val="center"/>
      </w:pP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1000.3000</w:t>
      </w:r>
      <w:r>
        <w:tab/>
        <w:t xml:space="preserve">Definitions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1000.3100</w:t>
      </w:r>
      <w:r>
        <w:tab/>
        <w:t xml:space="preserve">Ability to Repay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1000.3150</w:t>
      </w:r>
      <w:r>
        <w:tab/>
        <w:t xml:space="preserve">Verification of Ability to Pay Loan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1000.3200</w:t>
      </w:r>
      <w:r>
        <w:tab/>
        <w:t xml:space="preserve">Fraudulent or Deceptive Practices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1000.3225</w:t>
      </w:r>
      <w:r>
        <w:tab/>
        <w:t xml:space="preserve">Prepayment Penalty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1000.3250</w:t>
      </w:r>
      <w:r>
        <w:tab/>
        <w:t xml:space="preserve">Pre-paid Insurance Products and Warranties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1000.3300</w:t>
      </w:r>
      <w:r>
        <w:tab/>
        <w:t xml:space="preserve">Refinancing Prohibited in Certain Cases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1000.3325</w:t>
      </w:r>
      <w:r>
        <w:tab/>
        <w:t xml:space="preserve">Balloon Payments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1000.3350</w:t>
      </w:r>
      <w:r>
        <w:tab/>
        <w:t xml:space="preserve">Financing of Certain Points and Fees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1000.3400</w:t>
      </w:r>
      <w:r>
        <w:tab/>
        <w:t xml:space="preserve">Payments to Contractors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1000.3450</w:t>
      </w:r>
      <w:r>
        <w:tab/>
        <w:t xml:space="preserve">Negative Amortization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1000.3500</w:t>
      </w:r>
      <w:r>
        <w:tab/>
        <w:t xml:space="preserve">Negative Equity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1000.3550</w:t>
      </w:r>
      <w:r>
        <w:tab/>
        <w:t xml:space="preserve">Counseling Prior to Perfecting Foreclosure Proceedings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1000.3600</w:t>
      </w:r>
      <w:r>
        <w:tab/>
        <w:t xml:space="preserve">Mortgage Awareness Program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1000.3650</w:t>
      </w:r>
      <w:r>
        <w:tab/>
        <w:t xml:space="preserve">Report of Default and Foreclosure Rates on Conventional Loans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1000.3700</w:t>
      </w:r>
      <w:r>
        <w:tab/>
      </w:r>
      <w:r w:rsidR="0064066C">
        <w:t>Director's</w:t>
      </w:r>
      <w:r>
        <w:t xml:space="preserve"> Review and Analysis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  <w:r>
        <w:t>1000.3750</w:t>
      </w:r>
      <w:r>
        <w:tab/>
        <w:t xml:space="preserve">Third Party Review of High Risk Home Loans </w:t>
      </w:r>
    </w:p>
    <w:p w:rsidR="00293C3E" w:rsidRDefault="00293C3E" w:rsidP="00EE74D3">
      <w:pPr>
        <w:widowControl w:val="0"/>
        <w:autoSpaceDE w:val="0"/>
        <w:autoSpaceDN w:val="0"/>
        <w:adjustRightInd w:val="0"/>
      </w:pPr>
    </w:p>
    <w:p w:rsidR="0084052D" w:rsidRPr="00BB4CFA" w:rsidRDefault="0084052D" w:rsidP="0084052D">
      <w:pPr>
        <w:jc w:val="center"/>
        <w:rPr>
          <w:color w:val="000000"/>
        </w:rPr>
      </w:pPr>
      <w:r w:rsidRPr="00BB4CFA">
        <w:rPr>
          <w:color w:val="000000"/>
        </w:rPr>
        <w:t>SUBPART Q: DISCLOSURE OF CONFIDENTIAL SUPERVISORY INFORMATION</w:t>
      </w:r>
    </w:p>
    <w:p w:rsidR="0084052D" w:rsidRPr="00BB4CFA" w:rsidRDefault="0084052D" w:rsidP="0084052D">
      <w:pPr>
        <w:rPr>
          <w:color w:val="000000"/>
        </w:rPr>
      </w:pPr>
    </w:p>
    <w:p w:rsidR="00AA51A2" w:rsidRDefault="0084052D" w:rsidP="0084052D">
      <w:pPr>
        <w:rPr>
          <w:color w:val="000000"/>
        </w:rPr>
      </w:pPr>
      <w:r>
        <w:rPr>
          <w:color w:val="000000"/>
        </w:rPr>
        <w:t>Section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1000.4010</w:t>
      </w:r>
      <w:r>
        <w:rPr>
          <w:color w:val="000000"/>
        </w:rPr>
        <w:tab/>
      </w:r>
      <w:r w:rsidRPr="00BB4CFA">
        <w:rPr>
          <w:color w:val="000000"/>
        </w:rPr>
        <w:t>Definitions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1000.4020</w:t>
      </w:r>
      <w:r>
        <w:rPr>
          <w:color w:val="000000"/>
        </w:rPr>
        <w:tab/>
      </w:r>
      <w:r w:rsidRPr="00BB4CFA">
        <w:rPr>
          <w:color w:val="000000"/>
        </w:rPr>
        <w:t>Purpose and Scope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1000.4030</w:t>
      </w:r>
      <w:r>
        <w:rPr>
          <w:color w:val="000000"/>
        </w:rPr>
        <w:tab/>
      </w:r>
      <w:r w:rsidRPr="00BB4CFA">
        <w:rPr>
          <w:color w:val="000000"/>
        </w:rPr>
        <w:t>Requests for Confidential Supervisory Information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1000.4040</w:t>
      </w:r>
      <w:r>
        <w:rPr>
          <w:color w:val="000000"/>
        </w:rPr>
        <w:tab/>
      </w:r>
      <w:r w:rsidRPr="00BB4CFA">
        <w:rPr>
          <w:color w:val="000000"/>
        </w:rPr>
        <w:t>Where to Submit a Request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1000.4050</w:t>
      </w:r>
      <w:r>
        <w:rPr>
          <w:color w:val="000000"/>
        </w:rPr>
        <w:tab/>
      </w:r>
      <w:r w:rsidRPr="00BB4CFA">
        <w:rPr>
          <w:color w:val="000000"/>
        </w:rPr>
        <w:t>Consideration of Requests</w:t>
      </w:r>
    </w:p>
    <w:p w:rsidR="0084052D" w:rsidRPr="00BB4CFA" w:rsidRDefault="0084052D" w:rsidP="0084052D">
      <w:pPr>
        <w:rPr>
          <w:color w:val="000000"/>
        </w:rPr>
      </w:pPr>
      <w:r w:rsidRPr="00BB4CFA">
        <w:rPr>
          <w:color w:val="000000"/>
        </w:rPr>
        <w:t>1000.4060</w:t>
      </w:r>
      <w:r>
        <w:rPr>
          <w:color w:val="000000"/>
        </w:rPr>
        <w:tab/>
      </w:r>
      <w:r w:rsidRPr="00BB4CFA">
        <w:rPr>
          <w:color w:val="000000"/>
        </w:rPr>
        <w:t>Disclosure of Confidential Supervisory Information</w:t>
      </w:r>
    </w:p>
    <w:p w:rsidR="0084052D" w:rsidRPr="00BB4CFA" w:rsidRDefault="0084052D" w:rsidP="0084052D">
      <w:pPr>
        <w:ind w:left="1425" w:hanging="1425"/>
        <w:rPr>
          <w:color w:val="000000"/>
        </w:rPr>
      </w:pPr>
      <w:r>
        <w:rPr>
          <w:color w:val="000000"/>
        </w:rPr>
        <w:t>1</w:t>
      </w:r>
      <w:r w:rsidRPr="00BB4CFA">
        <w:rPr>
          <w:color w:val="000000"/>
        </w:rPr>
        <w:t>000.4070</w:t>
      </w:r>
      <w:r>
        <w:rPr>
          <w:color w:val="000000"/>
        </w:rPr>
        <w:tab/>
      </w:r>
      <w:r w:rsidRPr="00BB4CFA">
        <w:rPr>
          <w:color w:val="000000"/>
        </w:rPr>
        <w:t>Retrieval and Destruction of Previously Disclosed Confidential Supervisory Information Used in Litigation</w:t>
      </w:r>
    </w:p>
    <w:p w:rsidR="0084052D" w:rsidRDefault="0084052D" w:rsidP="0084052D">
      <w:pPr>
        <w:ind w:left="1425" w:hanging="1425"/>
        <w:rPr>
          <w:color w:val="000000"/>
        </w:rPr>
      </w:pPr>
      <w:r w:rsidRPr="00BB4CFA">
        <w:rPr>
          <w:color w:val="000000"/>
        </w:rPr>
        <w:t>1000.4080</w:t>
      </w:r>
      <w:r>
        <w:rPr>
          <w:color w:val="000000"/>
        </w:rPr>
        <w:tab/>
      </w:r>
      <w:r w:rsidRPr="00BB4CFA">
        <w:rPr>
          <w:color w:val="000000"/>
        </w:rPr>
        <w:t>Fees for Services</w:t>
      </w:r>
    </w:p>
    <w:p w:rsidR="00690C48" w:rsidRDefault="00690C48" w:rsidP="0084052D">
      <w:pPr>
        <w:ind w:left="1425" w:hanging="1425"/>
        <w:rPr>
          <w:color w:val="000000"/>
        </w:rPr>
      </w:pPr>
    </w:p>
    <w:p w:rsidR="0064066C" w:rsidRDefault="0064066C" w:rsidP="0064066C">
      <w:pPr>
        <w:ind w:left="1425" w:hanging="1425"/>
        <w:jc w:val="center"/>
        <w:rPr>
          <w:color w:val="000000"/>
        </w:rPr>
      </w:pPr>
      <w:r>
        <w:rPr>
          <w:color w:val="000000"/>
        </w:rPr>
        <w:t>SUBPART R:  PAYDAY LOANS</w:t>
      </w:r>
    </w:p>
    <w:p w:rsidR="0064066C" w:rsidRDefault="0064066C" w:rsidP="0084052D">
      <w:pPr>
        <w:ind w:left="1425" w:hanging="1425"/>
        <w:rPr>
          <w:color w:val="000000"/>
        </w:rPr>
      </w:pPr>
    </w:p>
    <w:p w:rsidR="00024C7E" w:rsidRDefault="00024C7E" w:rsidP="0084052D">
      <w:pPr>
        <w:ind w:left="1425" w:hanging="1425"/>
        <w:rPr>
          <w:color w:val="000000"/>
        </w:rPr>
      </w:pPr>
      <w:r>
        <w:rPr>
          <w:color w:val="000000"/>
        </w:rPr>
        <w:t>1000.5000</w:t>
      </w:r>
      <w:r>
        <w:rPr>
          <w:color w:val="000000"/>
        </w:rPr>
        <w:tab/>
        <w:t>Purpose and Scope</w:t>
      </w:r>
    </w:p>
    <w:p w:rsidR="00024C7E" w:rsidRDefault="00024C7E" w:rsidP="0084052D">
      <w:pPr>
        <w:ind w:left="1425" w:hanging="1425"/>
        <w:rPr>
          <w:color w:val="000000"/>
        </w:rPr>
      </w:pPr>
      <w:r>
        <w:rPr>
          <w:color w:val="000000"/>
        </w:rPr>
        <w:t>1000.5010</w:t>
      </w:r>
      <w:r>
        <w:rPr>
          <w:color w:val="000000"/>
        </w:rPr>
        <w:tab/>
        <w:t>Definitions</w:t>
      </w:r>
    </w:p>
    <w:p w:rsidR="00024C7E" w:rsidRDefault="00024C7E" w:rsidP="0084052D">
      <w:pPr>
        <w:ind w:left="1425" w:hanging="1425"/>
        <w:rPr>
          <w:color w:val="000000"/>
        </w:rPr>
      </w:pPr>
      <w:r>
        <w:rPr>
          <w:color w:val="000000"/>
        </w:rPr>
        <w:t>1000.5020</w:t>
      </w:r>
      <w:r>
        <w:rPr>
          <w:color w:val="000000"/>
        </w:rPr>
        <w:tab/>
        <w:t xml:space="preserve">Applicability of </w:t>
      </w:r>
      <w:r w:rsidR="00BB308A">
        <w:rPr>
          <w:color w:val="000000"/>
        </w:rPr>
        <w:t>Subpart</w:t>
      </w:r>
    </w:p>
    <w:p w:rsidR="00024C7E" w:rsidRDefault="00024C7E" w:rsidP="0084052D">
      <w:pPr>
        <w:ind w:left="1425" w:hanging="1425"/>
        <w:rPr>
          <w:color w:val="000000"/>
        </w:rPr>
      </w:pPr>
      <w:r>
        <w:rPr>
          <w:color w:val="000000"/>
        </w:rPr>
        <w:t>1000.5030</w:t>
      </w:r>
      <w:r>
        <w:rPr>
          <w:color w:val="000000"/>
        </w:rPr>
        <w:tab/>
        <w:t>Issuance of Payday Loans</w:t>
      </w:r>
    </w:p>
    <w:p w:rsidR="00024C7E" w:rsidRDefault="00024C7E" w:rsidP="0084052D">
      <w:pPr>
        <w:ind w:left="1425" w:hanging="1425"/>
        <w:rPr>
          <w:color w:val="000000"/>
        </w:rPr>
      </w:pPr>
    </w:p>
    <w:p w:rsidR="00690C48" w:rsidRDefault="00690C48" w:rsidP="00690C48">
      <w:pPr>
        <w:widowControl w:val="0"/>
        <w:tabs>
          <w:tab w:val="left" w:pos="2508"/>
        </w:tabs>
        <w:autoSpaceDE w:val="0"/>
        <w:autoSpaceDN w:val="0"/>
        <w:adjustRightInd w:val="0"/>
      </w:pPr>
      <w:r>
        <w:t>1000.APPENDIX A</w:t>
      </w:r>
      <w:r>
        <w:tab/>
        <w:t xml:space="preserve">Estimated Monthly Income and Expenses Worksheet </w:t>
      </w:r>
    </w:p>
    <w:p w:rsidR="00690C48" w:rsidRDefault="00690C48" w:rsidP="00690C48">
      <w:pPr>
        <w:widowControl w:val="0"/>
        <w:tabs>
          <w:tab w:val="left" w:pos="2508"/>
        </w:tabs>
        <w:autoSpaceDE w:val="0"/>
        <w:autoSpaceDN w:val="0"/>
        <w:adjustRightInd w:val="0"/>
        <w:ind w:left="1800" w:hanging="1800"/>
      </w:pPr>
      <w:r>
        <w:t>1000.APPENDIX B</w:t>
      </w:r>
      <w:r>
        <w:tab/>
        <w:t xml:space="preserve">Mortgage Ratio Worksheet </w:t>
      </w:r>
    </w:p>
    <w:sectPr w:rsidR="00690C48" w:rsidSect="00EE74D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C3E"/>
    <w:rsid w:val="00024C7E"/>
    <w:rsid w:val="002159D0"/>
    <w:rsid w:val="00293C3E"/>
    <w:rsid w:val="002E40BF"/>
    <w:rsid w:val="003F0868"/>
    <w:rsid w:val="006033AE"/>
    <w:rsid w:val="0064066C"/>
    <w:rsid w:val="00655538"/>
    <w:rsid w:val="00690C48"/>
    <w:rsid w:val="00824936"/>
    <w:rsid w:val="0084052D"/>
    <w:rsid w:val="008806DC"/>
    <w:rsid w:val="00964622"/>
    <w:rsid w:val="00987F79"/>
    <w:rsid w:val="00AA51A2"/>
    <w:rsid w:val="00AD700C"/>
    <w:rsid w:val="00BB308A"/>
    <w:rsid w:val="00EE74D3"/>
    <w:rsid w:val="00F36560"/>
    <w:rsid w:val="00F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FEES</vt:lpstr>
    </vt:vector>
  </TitlesOfParts>
  <Company>State Of Illinois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FEES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