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EC" w:rsidRDefault="007B48EC" w:rsidP="007B4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8EC" w:rsidRDefault="007B48EC" w:rsidP="007B48EC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7B48EC" w:rsidRDefault="007B48EC" w:rsidP="007B48EC">
      <w:pPr>
        <w:widowControl w:val="0"/>
        <w:autoSpaceDE w:val="0"/>
        <w:autoSpaceDN w:val="0"/>
        <w:adjustRightInd w:val="0"/>
        <w:jc w:val="center"/>
      </w:pPr>
      <w:r>
        <w:t>ILLINOIS FUNERAL OR BURIAL FUNDS ACT</w:t>
      </w:r>
    </w:p>
    <w:p w:rsidR="007B48EC" w:rsidRDefault="007B48EC" w:rsidP="007B48EC">
      <w:pPr>
        <w:widowControl w:val="0"/>
        <w:autoSpaceDE w:val="0"/>
        <w:autoSpaceDN w:val="0"/>
        <w:adjustRightInd w:val="0"/>
      </w:pPr>
    </w:p>
    <w:sectPr w:rsidR="007B48EC" w:rsidSect="007B4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8EC"/>
    <w:rsid w:val="005C3366"/>
    <w:rsid w:val="007B48EC"/>
    <w:rsid w:val="008D07C0"/>
    <w:rsid w:val="00AB66A8"/>
    <w:rsid w:val="00D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