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CCB" w:rsidRDefault="00574CCB" w:rsidP="00574CCB">
      <w:pPr>
        <w:widowControl w:val="0"/>
        <w:autoSpaceDE w:val="0"/>
        <w:autoSpaceDN w:val="0"/>
        <w:adjustRightInd w:val="0"/>
      </w:pPr>
      <w:bookmarkStart w:id="0" w:name="_GoBack"/>
      <w:bookmarkEnd w:id="0"/>
    </w:p>
    <w:p w:rsidR="00574CCB" w:rsidRDefault="00574CCB" w:rsidP="00574CCB">
      <w:pPr>
        <w:widowControl w:val="0"/>
        <w:autoSpaceDE w:val="0"/>
        <w:autoSpaceDN w:val="0"/>
        <w:adjustRightInd w:val="0"/>
      </w:pPr>
      <w:r>
        <w:rPr>
          <w:b/>
          <w:bCs/>
        </w:rPr>
        <w:t>Section 500.640  Admission of Business Records in Evidence</w:t>
      </w:r>
      <w:r>
        <w:t xml:space="preserve"> </w:t>
      </w:r>
    </w:p>
    <w:p w:rsidR="00574CCB" w:rsidRDefault="00574CCB" w:rsidP="00574CCB">
      <w:pPr>
        <w:widowControl w:val="0"/>
        <w:autoSpaceDE w:val="0"/>
        <w:autoSpaceDN w:val="0"/>
        <w:adjustRightInd w:val="0"/>
      </w:pPr>
    </w:p>
    <w:p w:rsidR="00574CCB" w:rsidRDefault="00574CCB" w:rsidP="00574CCB">
      <w:pPr>
        <w:widowControl w:val="0"/>
        <w:autoSpaceDE w:val="0"/>
        <w:autoSpaceDN w:val="0"/>
        <w:adjustRightInd w:val="0"/>
      </w:pPr>
      <w:r>
        <w:t xml:space="preserve">Any writing or record, whether in the form of any entry in a book or otherwise made as a memorandum or record of any act, transaction, occurrence, or event, shall be admissible as evidence of the act, transaction, occurrence, or event. To be admissible the writing or record shall have been made in the regular course of any business, provided it was the regular course of the business to make such a memorandum or record at the time of such an act, transaction, occurrence, or event or within a reasonable time thereafter. All other circumstances of the making of the writing or record, including lack of personal knowledge by the entrant or maker, may be shown to affect its weight, but shall not affect its admissibility. The term "business", as used in this rule, includes business, profession, occupation, and calling of every kind. </w:t>
      </w:r>
    </w:p>
    <w:sectPr w:rsidR="00574CCB" w:rsidSect="00574C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CCB"/>
    <w:rsid w:val="00253B42"/>
    <w:rsid w:val="002C2E2A"/>
    <w:rsid w:val="00574CCB"/>
    <w:rsid w:val="005C3366"/>
    <w:rsid w:val="00B1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