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74" w:rsidRDefault="00AB1F74" w:rsidP="00AB1F74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2F2D4D">
        <w:t>DEPARTMENT OF FINANCIAL AND PROFESSIONAL REGULATION</w:t>
      </w:r>
      <w:bookmarkStart w:id="0" w:name="_GoBack"/>
      <w:bookmarkEnd w:id="0"/>
    </w:p>
    <w:sectPr w:rsidR="00AB1F74" w:rsidSect="00AB1F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F74"/>
    <w:rsid w:val="002F2D4D"/>
    <w:rsid w:val="005C3366"/>
    <w:rsid w:val="008B5A02"/>
    <w:rsid w:val="009A2DC5"/>
    <w:rsid w:val="00AB1F74"/>
    <w:rsid w:val="00D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2CD11F-0CCE-43C3-94C3-16A38FEE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Bockewitz, Crystal K.</cp:lastModifiedBy>
  <cp:revision>4</cp:revision>
  <dcterms:created xsi:type="dcterms:W3CDTF">2012-06-21T23:17:00Z</dcterms:created>
  <dcterms:modified xsi:type="dcterms:W3CDTF">2020-03-11T15:16:00Z</dcterms:modified>
</cp:coreProperties>
</file>