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A8" w:rsidRDefault="002D28A8" w:rsidP="002D28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28A8" w:rsidRDefault="002D28A8" w:rsidP="002D28A8">
      <w:pPr>
        <w:widowControl w:val="0"/>
        <w:autoSpaceDE w:val="0"/>
        <w:autoSpaceDN w:val="0"/>
        <w:adjustRightInd w:val="0"/>
      </w:pPr>
      <w:r>
        <w:t xml:space="preserve">AUTHORITY:  Implementing and authorized by Section 48 of the Illinois Banking Act [205 ILCS 5/48], Section 20 of the Electronic Fund Transfer Act [205 ILCS 616/20], Section 5-1 of the Corporate Fiduciary Act [205 ILCS 620/5-1], Section 3.074 of the Illinois Bank Holding Company Act of 1957 [205 ILCS 10/3.074], Section 7 of the Foreign Bank Representative Office Act [205 ILCS 650/7], Section 0.05 of the Pawnbroker Regulation Act [205 ILCS 510/0.05], Section 38 of the Check Printer and Check Number Act [205 ILCS 690/38], and Section 18 of the Foreign Banking Office Act [205 ILCS 645/18]. </w:t>
      </w:r>
    </w:p>
    <w:sectPr w:rsidR="002D28A8" w:rsidSect="002D28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8A8"/>
    <w:rsid w:val="002D28A8"/>
    <w:rsid w:val="005C3366"/>
    <w:rsid w:val="00825BD0"/>
    <w:rsid w:val="00CE23DA"/>
    <w:rsid w:val="00F2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48 of the Illinois Banking Act [205 ILCS 5/48], Section 20 of the Electroni</vt:lpstr>
    </vt:vector>
  </TitlesOfParts>
  <Company>State of Illinois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48 of the Illinois Banking Act [205 ILCS 5/48], Section 20 of the Electroni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