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8959" w14:textId="77777777" w:rsidR="00E12DFF" w:rsidRDefault="00E12DFF" w:rsidP="00E12DFF">
      <w:pPr>
        <w:widowControl w:val="0"/>
        <w:autoSpaceDE w:val="0"/>
        <w:autoSpaceDN w:val="0"/>
        <w:adjustRightInd w:val="0"/>
      </w:pPr>
    </w:p>
    <w:p w14:paraId="06C0D4CE" w14:textId="0F7C921A" w:rsidR="00E12DFF" w:rsidRDefault="00E12DFF" w:rsidP="00E12D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360.130  Standards for Licensure</w:t>
      </w:r>
    </w:p>
    <w:p w14:paraId="2EB0A287" w14:textId="0E34BA56" w:rsidR="00E12DFF" w:rsidRDefault="00E12DFF" w:rsidP="00E12DFF">
      <w:pPr>
        <w:widowControl w:val="0"/>
        <w:autoSpaceDE w:val="0"/>
        <w:autoSpaceDN w:val="0"/>
        <w:adjustRightInd w:val="0"/>
      </w:pPr>
    </w:p>
    <w:p w14:paraId="4957D7A7" w14:textId="36258999" w:rsidR="00E12DFF" w:rsidRDefault="000F2C29" w:rsidP="000F2C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03398B">
        <w:tab/>
      </w:r>
      <w:r w:rsidR="00E12DFF">
        <w:t xml:space="preserve">Unless otherwise authorized by the </w:t>
      </w:r>
      <w:r w:rsidR="00C96DB7">
        <w:t>Secretary</w:t>
      </w:r>
      <w:r w:rsidR="00E12DFF">
        <w:t xml:space="preserve">, in order to be eligible for a license to operate a pawnshop, each applicant and principal party must: </w:t>
      </w:r>
    </w:p>
    <w:p w14:paraId="49F90DDD" w14:textId="020FB319" w:rsidR="00EF79E4" w:rsidRDefault="00EF79E4" w:rsidP="00E12DFF">
      <w:pPr>
        <w:widowControl w:val="0"/>
        <w:autoSpaceDE w:val="0"/>
        <w:autoSpaceDN w:val="0"/>
        <w:adjustRightInd w:val="0"/>
      </w:pPr>
    </w:p>
    <w:p w14:paraId="7295BC36" w14:textId="33390B77" w:rsidR="00E12DFF" w:rsidRDefault="000F2C29" w:rsidP="000F2C2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03398B">
        <w:tab/>
      </w:r>
      <w:r w:rsidR="00E12DFF">
        <w:t xml:space="preserve">if an individual, be </w:t>
      </w:r>
      <w:r>
        <w:t>18</w:t>
      </w:r>
      <w:r w:rsidR="00E12DFF">
        <w:t xml:space="preserve"> years of age or older; </w:t>
      </w:r>
    </w:p>
    <w:p w14:paraId="75625727" w14:textId="058AD002" w:rsidR="00EF79E4" w:rsidRDefault="00EF79E4" w:rsidP="00A967C3">
      <w:pPr>
        <w:widowControl w:val="0"/>
        <w:autoSpaceDE w:val="0"/>
        <w:autoSpaceDN w:val="0"/>
        <w:adjustRightInd w:val="0"/>
      </w:pPr>
    </w:p>
    <w:p w14:paraId="58B676F7" w14:textId="34D74814" w:rsidR="00E12DFF" w:rsidRDefault="000F2C29" w:rsidP="000F2C2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03398B">
        <w:tab/>
      </w:r>
      <w:r w:rsidR="00E12DFF">
        <w:t>not have been convicted of a felony or of any criminal offense relating to dishonesty or breach of trust</w:t>
      </w:r>
      <w:r w:rsidR="006338A4">
        <w:t>, subject to subsection (b)</w:t>
      </w:r>
      <w:r w:rsidR="00E12DFF">
        <w:t xml:space="preserve">; </w:t>
      </w:r>
    </w:p>
    <w:p w14:paraId="6AFECF0C" w14:textId="55A5AF9C" w:rsidR="00EF79E4" w:rsidRDefault="00EF79E4" w:rsidP="00A967C3">
      <w:pPr>
        <w:widowControl w:val="0"/>
        <w:autoSpaceDE w:val="0"/>
        <w:autoSpaceDN w:val="0"/>
        <w:adjustRightInd w:val="0"/>
      </w:pPr>
    </w:p>
    <w:p w14:paraId="4C5A0016" w14:textId="41F4E8D4" w:rsidR="00E12DFF" w:rsidRDefault="000F2C29" w:rsidP="000F2C2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03398B">
        <w:tab/>
      </w:r>
      <w:r w:rsidR="00E12DFF">
        <w:t xml:space="preserve">possess the </w:t>
      </w:r>
      <w:r w:rsidR="00AB2785">
        <w:t xml:space="preserve">financial responsibility, experience, </w:t>
      </w:r>
      <w:r w:rsidR="00E12DFF">
        <w:t xml:space="preserve">character and general fitness necessary to </w:t>
      </w:r>
      <w:r w:rsidR="00AB2785" w:rsidRPr="00AB2785">
        <w:t>command the confidence of the community and to warrant belief that the business will be operated honestly, fairly, and efficiently within the purpose of the Act</w:t>
      </w:r>
      <w:r w:rsidR="00E12DFF">
        <w:t xml:space="preserve">. </w:t>
      </w:r>
    </w:p>
    <w:p w14:paraId="33C2283B" w14:textId="1C21F87D" w:rsidR="00EF79E4" w:rsidRDefault="00EF79E4" w:rsidP="00E12DFF">
      <w:pPr>
        <w:widowControl w:val="0"/>
        <w:autoSpaceDE w:val="0"/>
        <w:autoSpaceDN w:val="0"/>
        <w:adjustRightInd w:val="0"/>
      </w:pPr>
    </w:p>
    <w:p w14:paraId="3A8E29EA" w14:textId="6B94E461" w:rsidR="00E12DFF" w:rsidRDefault="000F2C29" w:rsidP="000F2C2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03398B">
        <w:tab/>
      </w:r>
      <w:r w:rsidR="00E12DFF">
        <w:t xml:space="preserve">In determining whether to grant a license, the </w:t>
      </w:r>
      <w:r w:rsidR="00C96DB7">
        <w:t>Secretary</w:t>
      </w:r>
      <w:r w:rsidR="00E12DFF">
        <w:t xml:space="preserve"> shall consider the nature of the offense, the amount of time since the conviction, and any other mitigating factors the </w:t>
      </w:r>
      <w:r w:rsidR="00C96DB7">
        <w:t>Secretary</w:t>
      </w:r>
      <w:r w:rsidR="00E12DFF">
        <w:t xml:space="preserve"> may deem appropriate with regards to an applicant or principal party who has been convicted of a felony or any criminal offense relating to dishonesty or breach of trust. </w:t>
      </w:r>
    </w:p>
    <w:p w14:paraId="7AEABE9C" w14:textId="77777777" w:rsidR="00C96DB7" w:rsidRPr="00F8264F" w:rsidRDefault="00C96DB7" w:rsidP="00F8264F"/>
    <w:p w14:paraId="1A9F6740" w14:textId="4022DF6A" w:rsidR="00C96DB7" w:rsidRPr="00F8264F" w:rsidRDefault="0003398B" w:rsidP="00F8264F">
      <w:pPr>
        <w:ind w:left="720"/>
      </w:pPr>
      <w:r w:rsidRPr="00F8264F">
        <w:t xml:space="preserve">(Source:  </w:t>
      </w:r>
      <w:r w:rsidR="00AB2785" w:rsidRPr="00F8264F">
        <w:t>Amended</w:t>
      </w:r>
      <w:r w:rsidRPr="00F8264F">
        <w:t xml:space="preserve"> at 49 Ill. Reg. </w:t>
      </w:r>
      <w:r w:rsidR="00421D16" w:rsidRPr="00F8264F">
        <w:t>14602</w:t>
      </w:r>
      <w:r w:rsidRPr="00F8264F">
        <w:t xml:space="preserve">, effective </w:t>
      </w:r>
      <w:r w:rsidR="00421D16" w:rsidRPr="00F8264F">
        <w:t>October 29, 2025</w:t>
      </w:r>
      <w:r w:rsidRPr="00F8264F">
        <w:t>)</w:t>
      </w:r>
    </w:p>
    <w:sectPr w:rsidR="00C96DB7" w:rsidRPr="00F8264F" w:rsidSect="00E12D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2DFF"/>
    <w:rsid w:val="0003398B"/>
    <w:rsid w:val="000F2C29"/>
    <w:rsid w:val="001555C7"/>
    <w:rsid w:val="00337625"/>
    <w:rsid w:val="003C4318"/>
    <w:rsid w:val="00421D16"/>
    <w:rsid w:val="005C3366"/>
    <w:rsid w:val="006338A4"/>
    <w:rsid w:val="0085547D"/>
    <w:rsid w:val="009B204C"/>
    <w:rsid w:val="00A505B0"/>
    <w:rsid w:val="00A967C3"/>
    <w:rsid w:val="00AB2785"/>
    <w:rsid w:val="00C96DB7"/>
    <w:rsid w:val="00E12DFF"/>
    <w:rsid w:val="00EF79E4"/>
    <w:rsid w:val="00F8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6FC434"/>
  <w15:docId w15:val="{8C8AC76C-47DD-4189-AA6B-EDD42370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96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5</cp:revision>
  <dcterms:created xsi:type="dcterms:W3CDTF">2025-10-27T16:22:00Z</dcterms:created>
  <dcterms:modified xsi:type="dcterms:W3CDTF">2025-11-17T13:58:00Z</dcterms:modified>
</cp:coreProperties>
</file>