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B1" w:rsidRDefault="00444EB1" w:rsidP="00444E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EB1" w:rsidRDefault="00444EB1" w:rsidP="00444EB1">
      <w:pPr>
        <w:widowControl w:val="0"/>
        <w:autoSpaceDE w:val="0"/>
        <w:autoSpaceDN w:val="0"/>
        <w:adjustRightInd w:val="0"/>
      </w:pPr>
      <w:r>
        <w:t xml:space="preserve">SOURCE:  Adopted at 12 Ill. Reg. 10663, effective August 8, 1988; recodified from Chapter II, Commissioner of Banks and Trust Companies, to Chapter II, Office of Banks and Real Estate, pursuant to PA </w:t>
      </w:r>
      <w:r w:rsidR="00CB37F6">
        <w:t xml:space="preserve">89-508, at 20 Ill. Reg. 12645. </w:t>
      </w:r>
    </w:p>
    <w:sectPr w:rsidR="00444EB1" w:rsidSect="00444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EB1"/>
    <w:rsid w:val="00444EB1"/>
    <w:rsid w:val="005C3366"/>
    <w:rsid w:val="007B1358"/>
    <w:rsid w:val="00926AD6"/>
    <w:rsid w:val="009458FC"/>
    <w:rsid w:val="00C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