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FB" w:rsidRDefault="00A054FB" w:rsidP="00A054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54FB" w:rsidRDefault="00A054FB" w:rsidP="00A054FB">
      <w:pPr>
        <w:widowControl w:val="0"/>
        <w:autoSpaceDE w:val="0"/>
        <w:autoSpaceDN w:val="0"/>
        <w:adjustRightInd w:val="0"/>
      </w:pPr>
      <w:r>
        <w:t xml:space="preserve">AUTHORITY:  Implementing Section 48.1(g) and authorized by Section 48(6) of the Illinois Banking Act [205 ILCS 5/48.1(g) and 48(6)] and implementing Section 5-11 and authorized by Section 5-1 of the Corporate Fiduciary Act [205 ILCS 620/5-11 and 5-1]. </w:t>
      </w:r>
    </w:p>
    <w:sectPr w:rsidR="00A054FB" w:rsidSect="00A054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4FB"/>
    <w:rsid w:val="005B65B4"/>
    <w:rsid w:val="005C3366"/>
    <w:rsid w:val="007344CF"/>
    <w:rsid w:val="00A054FB"/>
    <w:rsid w:val="00E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48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48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