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350.10</w:t>
      </w:r>
      <w:r>
        <w:tab/>
        <w:t xml:space="preserve">Purpose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350.20</w:t>
      </w:r>
      <w:r>
        <w:tab/>
        <w:t xml:space="preserve">Definitions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350.30</w:t>
      </w:r>
      <w:r>
        <w:tab/>
        <w:t xml:space="preserve">Permissible ADC Lending Transactions by State Banks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350.40</w:t>
      </w:r>
      <w:r>
        <w:tab/>
        <w:t xml:space="preserve">Characteristics of ADC Lending Transactions Implying Unauthorized Investments in Real Estate or a Joint Venture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350.50</w:t>
      </w:r>
      <w:r>
        <w:tab/>
        <w:t xml:space="preserve">Characteristics of ADC Lending Transactions Implying Loans </w:t>
      </w:r>
    </w:p>
    <w:p w:rsidR="00B73C18" w:rsidRDefault="00B73C18" w:rsidP="00B9345E">
      <w:pPr>
        <w:widowControl w:val="0"/>
        <w:autoSpaceDE w:val="0"/>
        <w:autoSpaceDN w:val="0"/>
        <w:adjustRightInd w:val="0"/>
        <w:ind w:left="1425" w:hanging="1425"/>
      </w:pPr>
      <w:r>
        <w:t>350.60</w:t>
      </w:r>
      <w:r>
        <w:tab/>
        <w:t xml:space="preserve">Procedure </w:t>
      </w:r>
    </w:p>
    <w:sectPr w:rsidR="00B73C18" w:rsidSect="00B73C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C18"/>
    <w:rsid w:val="005506BB"/>
    <w:rsid w:val="00B73C18"/>
    <w:rsid w:val="00B777F0"/>
    <w:rsid w:val="00B9345E"/>
    <w:rsid w:val="00CE6D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