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06" w:rsidRDefault="00497206" w:rsidP="004972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206" w:rsidRDefault="00497206" w:rsidP="00497206">
      <w:pPr>
        <w:widowControl w:val="0"/>
        <w:autoSpaceDE w:val="0"/>
        <w:autoSpaceDN w:val="0"/>
        <w:adjustRightInd w:val="0"/>
      </w:pPr>
      <w:r>
        <w:t xml:space="preserve">SOURCE:  Emergency rule adopted at 18 Ill. Reg. 11662, effective July 8, 1994, for a maximum of 150 days; adopted at 18 Ill. Reg. 17882, effective December 2, 1994; </w:t>
      </w:r>
      <w:proofErr w:type="spellStart"/>
      <w:r>
        <w:t>recodified</w:t>
      </w:r>
      <w:proofErr w:type="spellEnd"/>
      <w:r>
        <w:t xml:space="preserve"> from Chapter II, Commissioner of Banks and Trust Companies, to Chapter II, Office of Banks and Real Estate, pursuant to PA 89-508, at 20 Ill. Reg. 12645. </w:t>
      </w:r>
      <w:r>
        <w:tab/>
      </w:r>
    </w:p>
    <w:sectPr w:rsidR="00497206" w:rsidSect="004972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206"/>
    <w:rsid w:val="00497206"/>
    <w:rsid w:val="005C3366"/>
    <w:rsid w:val="0069762D"/>
    <w:rsid w:val="009E1104"/>
    <w:rsid w:val="00E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18 Ill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18 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