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026" w:rsidRDefault="00ED1026" w:rsidP="00ED1026">
      <w:pPr>
        <w:rPr>
          <w:rFonts w:cs="Arial"/>
          <w:b/>
          <w:bCs/>
          <w:sz w:val="24"/>
        </w:rPr>
      </w:pPr>
    </w:p>
    <w:p w:rsidR="00ED1026" w:rsidRPr="00934BFC" w:rsidRDefault="00ED1026" w:rsidP="00ED1026">
      <w:pPr>
        <w:rPr>
          <w:rFonts w:cs="Arial"/>
          <w:b/>
          <w:sz w:val="24"/>
        </w:rPr>
      </w:pPr>
      <w:r w:rsidRPr="00934BFC">
        <w:rPr>
          <w:rFonts w:cs="Arial"/>
          <w:b/>
          <w:bCs/>
          <w:sz w:val="24"/>
        </w:rPr>
        <w:t>Section 330.200</w:t>
      </w:r>
      <w:r>
        <w:rPr>
          <w:rFonts w:cs="Arial"/>
          <w:b/>
          <w:bCs/>
          <w:sz w:val="24"/>
        </w:rPr>
        <w:t xml:space="preserve">  </w:t>
      </w:r>
      <w:r w:rsidRPr="00934BFC">
        <w:rPr>
          <w:rFonts w:cs="Arial"/>
          <w:b/>
          <w:bCs/>
          <w:sz w:val="24"/>
        </w:rPr>
        <w:t>Definitions</w:t>
      </w:r>
    </w:p>
    <w:p w:rsidR="00ED1026" w:rsidRPr="00934BFC" w:rsidRDefault="00ED1026" w:rsidP="00ED1026">
      <w:pPr>
        <w:rPr>
          <w:rFonts w:cs="Arial"/>
          <w:sz w:val="24"/>
        </w:rPr>
      </w:pPr>
    </w:p>
    <w:p w:rsidR="00ED1026" w:rsidRPr="00934BFC" w:rsidRDefault="00ED1026" w:rsidP="00ED1026">
      <w:pPr>
        <w:rPr>
          <w:rFonts w:cs="Arial"/>
          <w:sz w:val="24"/>
        </w:rPr>
      </w:pPr>
      <w:r w:rsidRPr="00934BFC">
        <w:rPr>
          <w:rFonts w:cs="Arial"/>
          <w:sz w:val="24"/>
        </w:rPr>
        <w:t>For purposes of this Subpart, the following definitions apply:</w:t>
      </w:r>
    </w:p>
    <w:p w:rsidR="00ED1026" w:rsidRPr="00934BFC" w:rsidRDefault="00ED1026" w:rsidP="00ED1026">
      <w:pPr>
        <w:rPr>
          <w:rFonts w:cs="Arial"/>
          <w:sz w:val="24"/>
        </w:rPr>
      </w:pPr>
    </w:p>
    <w:p w:rsidR="00ED1026" w:rsidRPr="00934BFC" w:rsidRDefault="00ED1026" w:rsidP="00ED1026">
      <w:pPr>
        <w:ind w:left="1440" w:firstLine="1"/>
        <w:rPr>
          <w:rFonts w:cs="Arial"/>
          <w:sz w:val="24"/>
        </w:rPr>
      </w:pPr>
      <w:r>
        <w:rPr>
          <w:rFonts w:cs="Arial"/>
          <w:sz w:val="24"/>
        </w:rPr>
        <w:t>"</w:t>
      </w:r>
      <w:r w:rsidRPr="00934BFC">
        <w:rPr>
          <w:rFonts w:cs="Arial"/>
          <w:sz w:val="24"/>
        </w:rPr>
        <w:t xml:space="preserve">Appropriate </w:t>
      </w:r>
      <w:r w:rsidR="00AE5D26">
        <w:rPr>
          <w:rFonts w:cs="Arial"/>
          <w:sz w:val="24"/>
        </w:rPr>
        <w:t>F</w:t>
      </w:r>
      <w:r w:rsidRPr="00934BFC">
        <w:rPr>
          <w:rFonts w:cs="Arial"/>
          <w:sz w:val="24"/>
        </w:rPr>
        <w:t xml:space="preserve">ederal </w:t>
      </w:r>
      <w:r w:rsidR="00AE5D26">
        <w:rPr>
          <w:rFonts w:cs="Arial"/>
          <w:sz w:val="24"/>
        </w:rPr>
        <w:t>B</w:t>
      </w:r>
      <w:r w:rsidRPr="00934BFC">
        <w:rPr>
          <w:rFonts w:cs="Arial"/>
          <w:sz w:val="24"/>
        </w:rPr>
        <w:t xml:space="preserve">anking </w:t>
      </w:r>
      <w:r w:rsidR="00AE5D26">
        <w:rPr>
          <w:rFonts w:cs="Arial"/>
          <w:sz w:val="24"/>
        </w:rPr>
        <w:t>A</w:t>
      </w:r>
      <w:r w:rsidRPr="00934BFC">
        <w:rPr>
          <w:rFonts w:cs="Arial"/>
          <w:sz w:val="24"/>
        </w:rPr>
        <w:t>gency</w:t>
      </w:r>
      <w:r>
        <w:rPr>
          <w:rFonts w:cs="Arial"/>
          <w:sz w:val="24"/>
        </w:rPr>
        <w:t>"</w:t>
      </w:r>
      <w:r w:rsidRPr="00934BFC">
        <w:rPr>
          <w:rFonts w:cs="Arial"/>
          <w:sz w:val="24"/>
        </w:rPr>
        <w:t xml:space="preserve"> means the Federal Deposit Insurance Corporation, the Federal Reserve Bank of Chicago or the Federal Reserve Bank of St. Louis. </w:t>
      </w:r>
    </w:p>
    <w:p w:rsidR="00ED1026" w:rsidRPr="00934BFC" w:rsidRDefault="00ED1026" w:rsidP="00ED1026">
      <w:pPr>
        <w:ind w:left="1440"/>
        <w:rPr>
          <w:rFonts w:cs="Arial"/>
          <w:sz w:val="24"/>
        </w:rPr>
      </w:pPr>
    </w:p>
    <w:p w:rsidR="00ED1026" w:rsidRPr="00934BFC" w:rsidRDefault="00ED1026" w:rsidP="00ED1026">
      <w:pPr>
        <w:ind w:left="1440"/>
        <w:rPr>
          <w:rFonts w:cs="Arial"/>
          <w:sz w:val="24"/>
        </w:rPr>
      </w:pPr>
      <w:r>
        <w:rPr>
          <w:rFonts w:cs="Arial"/>
          <w:sz w:val="24"/>
        </w:rPr>
        <w:t>"</w:t>
      </w:r>
      <w:r w:rsidRPr="00934BFC">
        <w:rPr>
          <w:rFonts w:cs="Arial"/>
          <w:sz w:val="24"/>
        </w:rPr>
        <w:t>Borrower</w:t>
      </w:r>
      <w:r>
        <w:rPr>
          <w:rFonts w:cs="Arial"/>
          <w:sz w:val="24"/>
        </w:rPr>
        <w:t>"</w:t>
      </w:r>
      <w:r w:rsidRPr="00934BFC">
        <w:rPr>
          <w:rFonts w:cs="Arial"/>
          <w:sz w:val="24"/>
        </w:rPr>
        <w:t xml:space="preserve"> means a person who is named as a borrower or debtor in a loan or extension of credit; a person to whom a state bank has credit exposure arising from a derivative transaction entered by the bank or any other person, including a drawer, endorser or guarantor, who is deemed to be a borrower under Section 32 of the Act</w:t>
      </w:r>
      <w:r w:rsidR="00AE5D26">
        <w:rPr>
          <w:rFonts w:cs="Arial"/>
          <w:sz w:val="24"/>
        </w:rPr>
        <w:t>,</w:t>
      </w:r>
      <w:r w:rsidRPr="00934BFC">
        <w:rPr>
          <w:rFonts w:cs="Arial"/>
          <w:sz w:val="24"/>
        </w:rPr>
        <w:t xml:space="preserve"> Section 6013 of the Savings Bank Act [205 ILCS 205], or this Part.</w:t>
      </w:r>
    </w:p>
    <w:p w:rsidR="00ED1026" w:rsidRPr="00934BFC" w:rsidRDefault="00ED1026" w:rsidP="00ED1026">
      <w:pPr>
        <w:ind w:left="1440"/>
        <w:rPr>
          <w:rFonts w:cs="Arial"/>
          <w:sz w:val="24"/>
        </w:rPr>
      </w:pPr>
    </w:p>
    <w:p w:rsidR="00ED1026" w:rsidRPr="00934BFC" w:rsidRDefault="00ED1026" w:rsidP="00AE5D26">
      <w:pPr>
        <w:tabs>
          <w:tab w:val="left" w:pos="1440"/>
        </w:tabs>
        <w:ind w:left="1440"/>
        <w:rPr>
          <w:rFonts w:cs="Arial"/>
          <w:bCs/>
          <w:sz w:val="24"/>
        </w:rPr>
      </w:pPr>
      <w:r>
        <w:rPr>
          <w:rFonts w:cs="Arial"/>
          <w:bCs/>
          <w:iCs/>
          <w:sz w:val="24"/>
        </w:rPr>
        <w:t>"</w:t>
      </w:r>
      <w:r w:rsidRPr="00934BFC">
        <w:rPr>
          <w:rFonts w:cs="Arial"/>
          <w:bCs/>
          <w:iCs/>
          <w:sz w:val="24"/>
        </w:rPr>
        <w:t xml:space="preserve">Contractual </w:t>
      </w:r>
      <w:r w:rsidR="00AE5D26">
        <w:rPr>
          <w:rFonts w:cs="Arial"/>
          <w:bCs/>
          <w:iCs/>
          <w:sz w:val="24"/>
        </w:rPr>
        <w:t>C</w:t>
      </w:r>
      <w:r w:rsidRPr="00934BFC">
        <w:rPr>
          <w:rFonts w:cs="Arial"/>
          <w:bCs/>
          <w:iCs/>
          <w:sz w:val="24"/>
        </w:rPr>
        <w:t xml:space="preserve">ommitment to </w:t>
      </w:r>
      <w:r w:rsidR="00AE5D26">
        <w:rPr>
          <w:rFonts w:cs="Arial"/>
          <w:bCs/>
          <w:iCs/>
          <w:sz w:val="24"/>
        </w:rPr>
        <w:t>A</w:t>
      </w:r>
      <w:r w:rsidRPr="00934BFC">
        <w:rPr>
          <w:rFonts w:cs="Arial"/>
          <w:bCs/>
          <w:iCs/>
          <w:sz w:val="24"/>
        </w:rPr>
        <w:t xml:space="preserve">dvance </w:t>
      </w:r>
      <w:r w:rsidR="00AE5D26">
        <w:rPr>
          <w:rFonts w:cs="Arial"/>
          <w:bCs/>
          <w:iCs/>
          <w:sz w:val="24"/>
        </w:rPr>
        <w:t>F</w:t>
      </w:r>
      <w:r w:rsidRPr="00934BFC">
        <w:rPr>
          <w:rFonts w:cs="Arial"/>
          <w:bCs/>
          <w:iCs/>
          <w:sz w:val="24"/>
        </w:rPr>
        <w:t>unds</w:t>
      </w:r>
      <w:r>
        <w:rPr>
          <w:rFonts w:cs="Arial"/>
          <w:bCs/>
          <w:iCs/>
          <w:sz w:val="24"/>
        </w:rPr>
        <w:t>"</w:t>
      </w:r>
      <w:r w:rsidR="00AE5D26">
        <w:rPr>
          <w:rFonts w:cs="Arial"/>
          <w:bCs/>
          <w:iCs/>
          <w:sz w:val="24"/>
        </w:rPr>
        <w:t xml:space="preserve"> i</w:t>
      </w:r>
      <w:r w:rsidRPr="00934BFC">
        <w:rPr>
          <w:rFonts w:cs="Arial"/>
          <w:bCs/>
          <w:sz w:val="24"/>
        </w:rPr>
        <w:t>ncludes a</w:t>
      </w:r>
      <w:r w:rsidRPr="00934BFC">
        <w:rPr>
          <w:rFonts w:cs="Arial"/>
          <w:bCs/>
          <w:color w:val="FF0000"/>
          <w:sz w:val="24"/>
        </w:rPr>
        <w:t xml:space="preserve"> </w:t>
      </w:r>
      <w:r w:rsidRPr="00934BFC">
        <w:rPr>
          <w:rFonts w:cs="Arial"/>
          <w:bCs/>
          <w:sz w:val="24"/>
        </w:rPr>
        <w:t>bank</w:t>
      </w:r>
      <w:r w:rsidR="00AE5D26">
        <w:rPr>
          <w:rFonts w:cs="Arial"/>
          <w:bCs/>
          <w:sz w:val="24"/>
        </w:rPr>
        <w:t>'</w:t>
      </w:r>
      <w:r w:rsidRPr="00934BFC">
        <w:rPr>
          <w:rFonts w:cs="Arial"/>
          <w:bCs/>
          <w:sz w:val="24"/>
        </w:rPr>
        <w:t>s obligation to:</w:t>
      </w:r>
    </w:p>
    <w:p w:rsidR="00ED1026" w:rsidRPr="00934BFC" w:rsidRDefault="00ED1026" w:rsidP="00ED1026">
      <w:pPr>
        <w:overflowPunct/>
        <w:autoSpaceDE/>
        <w:autoSpaceDN/>
        <w:adjustRightInd/>
        <w:ind w:left="1890" w:firstLine="1"/>
        <w:textAlignment w:val="auto"/>
        <w:rPr>
          <w:rFonts w:cs="Arial"/>
          <w:bCs/>
          <w:sz w:val="24"/>
        </w:rPr>
      </w:pPr>
    </w:p>
    <w:p w:rsidR="00ED1026" w:rsidRPr="00934BFC" w:rsidRDefault="00ED1026" w:rsidP="00ED1026">
      <w:pPr>
        <w:overflowPunct/>
        <w:autoSpaceDE/>
        <w:autoSpaceDN/>
        <w:adjustRightInd/>
        <w:ind w:left="2160"/>
        <w:textAlignment w:val="auto"/>
        <w:rPr>
          <w:rFonts w:cs="Arial"/>
          <w:bCs/>
          <w:sz w:val="24"/>
        </w:rPr>
      </w:pPr>
      <w:r w:rsidRPr="00934BFC">
        <w:rPr>
          <w:rFonts w:cs="Arial"/>
          <w:sz w:val="24"/>
        </w:rPr>
        <w:t xml:space="preserve">Make payment (directly or indirectly) to a third person contingent upon default by a customer of the bank in performing an obligation and to make </w:t>
      </w:r>
      <w:r w:rsidR="00AE5D26">
        <w:rPr>
          <w:rFonts w:cs="Arial"/>
          <w:sz w:val="24"/>
        </w:rPr>
        <w:t>the</w:t>
      </w:r>
      <w:r w:rsidRPr="00934BFC">
        <w:rPr>
          <w:rFonts w:cs="Arial"/>
          <w:sz w:val="24"/>
        </w:rPr>
        <w:t xml:space="preserve"> payment in keeping with the agreed upon terms of the customer's contract with the third person, or to make payments upon some other stated condition;</w:t>
      </w:r>
    </w:p>
    <w:p w:rsidR="00ED1026" w:rsidRPr="00934BFC" w:rsidRDefault="00ED1026" w:rsidP="00ED1026">
      <w:pPr>
        <w:overflowPunct/>
        <w:autoSpaceDE/>
        <w:autoSpaceDN/>
        <w:adjustRightInd/>
        <w:ind w:left="2160"/>
        <w:textAlignment w:val="auto"/>
        <w:rPr>
          <w:rFonts w:cs="Arial"/>
          <w:bCs/>
          <w:sz w:val="24"/>
        </w:rPr>
      </w:pPr>
    </w:p>
    <w:p w:rsidR="00ED1026" w:rsidRPr="00934BFC" w:rsidRDefault="00ED1026" w:rsidP="00ED1026">
      <w:pPr>
        <w:overflowPunct/>
        <w:autoSpaceDE/>
        <w:autoSpaceDN/>
        <w:adjustRightInd/>
        <w:ind w:left="2160"/>
        <w:textAlignment w:val="auto"/>
        <w:rPr>
          <w:rFonts w:cs="Arial"/>
          <w:bCs/>
          <w:sz w:val="24"/>
        </w:rPr>
      </w:pPr>
      <w:r w:rsidRPr="00934BFC">
        <w:rPr>
          <w:rFonts w:cs="Arial"/>
          <w:sz w:val="24"/>
        </w:rPr>
        <w:t>Guarantee or act as surety for the benefit of a person;</w:t>
      </w:r>
    </w:p>
    <w:p w:rsidR="00ED1026" w:rsidRPr="00934BFC" w:rsidRDefault="00ED1026" w:rsidP="00ED1026">
      <w:pPr>
        <w:overflowPunct/>
        <w:autoSpaceDE/>
        <w:autoSpaceDN/>
        <w:adjustRightInd/>
        <w:ind w:left="1440"/>
        <w:textAlignment w:val="auto"/>
        <w:rPr>
          <w:rFonts w:cs="Arial"/>
          <w:sz w:val="24"/>
        </w:rPr>
      </w:pPr>
    </w:p>
    <w:p w:rsidR="00ED1026" w:rsidRPr="00934BFC" w:rsidRDefault="00ED1026" w:rsidP="00ED1026">
      <w:pPr>
        <w:overflowPunct/>
        <w:autoSpaceDE/>
        <w:autoSpaceDN/>
        <w:adjustRightInd/>
        <w:ind w:left="2160" w:firstLine="1"/>
        <w:textAlignment w:val="auto"/>
        <w:rPr>
          <w:rFonts w:cs="Arial"/>
          <w:bCs/>
          <w:sz w:val="24"/>
        </w:rPr>
      </w:pPr>
      <w:r w:rsidRPr="00934BFC">
        <w:rPr>
          <w:rFonts w:cs="Arial"/>
          <w:sz w:val="24"/>
        </w:rPr>
        <w:t>Advance funds under a qualifying commitment to lend; and</w:t>
      </w:r>
    </w:p>
    <w:p w:rsidR="00ED1026" w:rsidRPr="00934BFC" w:rsidRDefault="00ED1026" w:rsidP="00ED1026">
      <w:pPr>
        <w:overflowPunct/>
        <w:autoSpaceDE/>
        <w:autoSpaceDN/>
        <w:adjustRightInd/>
        <w:ind w:left="1800"/>
        <w:textAlignment w:val="auto"/>
        <w:rPr>
          <w:rFonts w:cs="Arial"/>
          <w:bCs/>
          <w:sz w:val="24"/>
        </w:rPr>
      </w:pPr>
    </w:p>
    <w:p w:rsidR="00ED1026" w:rsidRPr="00934BFC" w:rsidRDefault="00ED1026" w:rsidP="00ED1026">
      <w:pPr>
        <w:overflowPunct/>
        <w:autoSpaceDE/>
        <w:autoSpaceDN/>
        <w:adjustRightInd/>
        <w:ind w:left="2160" w:firstLine="1"/>
        <w:textAlignment w:val="auto"/>
        <w:rPr>
          <w:rFonts w:cs="Arial"/>
          <w:sz w:val="24"/>
        </w:rPr>
      </w:pPr>
      <w:r w:rsidRPr="00934BFC">
        <w:rPr>
          <w:rFonts w:cs="Arial"/>
          <w:sz w:val="24"/>
        </w:rPr>
        <w:t>Advance funds under a standby letter of credit, a put or other similar arrangement.</w:t>
      </w:r>
    </w:p>
    <w:p w:rsidR="00ED1026" w:rsidRPr="00934BFC" w:rsidRDefault="00ED1026" w:rsidP="00ED1026">
      <w:pPr>
        <w:overflowPunct/>
        <w:autoSpaceDE/>
        <w:autoSpaceDN/>
        <w:adjustRightInd/>
        <w:ind w:left="2160" w:firstLine="1"/>
        <w:textAlignment w:val="auto"/>
        <w:rPr>
          <w:rFonts w:cs="Arial"/>
          <w:bCs/>
          <w:sz w:val="24"/>
        </w:rPr>
      </w:pPr>
    </w:p>
    <w:p w:rsidR="00ED1026" w:rsidRPr="00934BFC" w:rsidRDefault="00ED1026" w:rsidP="00ED1026">
      <w:pPr>
        <w:tabs>
          <w:tab w:val="left" w:pos="1800"/>
        </w:tabs>
        <w:overflowPunct/>
        <w:autoSpaceDE/>
        <w:autoSpaceDN/>
        <w:adjustRightInd/>
        <w:ind w:left="1800"/>
        <w:textAlignment w:val="auto"/>
        <w:rPr>
          <w:rFonts w:cs="Arial"/>
          <w:bCs/>
          <w:sz w:val="24"/>
        </w:rPr>
      </w:pPr>
      <w:r w:rsidRPr="00934BFC">
        <w:rPr>
          <w:rFonts w:cs="Arial"/>
          <w:bCs/>
          <w:sz w:val="24"/>
        </w:rPr>
        <w:t xml:space="preserve">The term does not include commercial letters of credit and similar instruments </w:t>
      </w:r>
      <w:r w:rsidR="00AE5D26">
        <w:rPr>
          <w:rFonts w:cs="Arial"/>
          <w:bCs/>
          <w:sz w:val="24"/>
        </w:rPr>
        <w:t xml:space="preserve">when </w:t>
      </w:r>
      <w:r w:rsidRPr="00934BFC">
        <w:rPr>
          <w:rFonts w:cs="Arial"/>
          <w:bCs/>
          <w:sz w:val="24"/>
        </w:rPr>
        <w:t>the issuing bank expects the beneficiary to draw on the issuer, that do not guarantee payment, and that do not provide for payment in the event of a default by a third party.</w:t>
      </w:r>
    </w:p>
    <w:p w:rsidR="00ED1026" w:rsidRPr="00934BFC" w:rsidRDefault="00ED1026" w:rsidP="00ED1026">
      <w:pPr>
        <w:ind w:left="1440"/>
        <w:rPr>
          <w:rFonts w:cs="Arial"/>
          <w:sz w:val="24"/>
        </w:rPr>
      </w:pPr>
    </w:p>
    <w:p w:rsidR="00ED1026" w:rsidRPr="00934BFC" w:rsidRDefault="00ED1026" w:rsidP="00ED1026">
      <w:pPr>
        <w:ind w:left="1440"/>
        <w:rPr>
          <w:rFonts w:cs="Arial"/>
          <w:sz w:val="24"/>
        </w:rPr>
      </w:pPr>
      <w:r>
        <w:rPr>
          <w:rFonts w:cs="Arial"/>
          <w:sz w:val="24"/>
        </w:rPr>
        <w:t>"</w:t>
      </w:r>
      <w:r w:rsidRPr="00934BFC">
        <w:rPr>
          <w:rFonts w:cs="Arial"/>
          <w:sz w:val="24"/>
        </w:rPr>
        <w:t xml:space="preserve">Credit </w:t>
      </w:r>
      <w:r w:rsidR="00AE5D26">
        <w:rPr>
          <w:rFonts w:cs="Arial"/>
          <w:sz w:val="24"/>
        </w:rPr>
        <w:t>D</w:t>
      </w:r>
      <w:r w:rsidRPr="00934BFC">
        <w:rPr>
          <w:rFonts w:cs="Arial"/>
          <w:sz w:val="24"/>
        </w:rPr>
        <w:t>erivative</w:t>
      </w:r>
      <w:r>
        <w:rPr>
          <w:rFonts w:cs="Arial"/>
          <w:sz w:val="24"/>
        </w:rPr>
        <w:t>"</w:t>
      </w:r>
      <w:r w:rsidRPr="00934BFC">
        <w:rPr>
          <w:rFonts w:cs="Arial"/>
          <w:sz w:val="24"/>
        </w:rPr>
        <w:t xml:space="preserve"> means a financial contract executed under standard industry credit derivative documentation that allows one party (the protection purchaser) to transfer the credit risk of one or more exposures (reference exposure</w:t>
      </w:r>
      <w:r w:rsidR="00B506E3">
        <w:rPr>
          <w:rFonts w:cs="Arial"/>
          <w:sz w:val="24"/>
        </w:rPr>
        <w:t>, e.g., currency interest or equities exposure</w:t>
      </w:r>
      <w:r w:rsidRPr="00934BFC">
        <w:rPr>
          <w:rFonts w:cs="Arial"/>
          <w:sz w:val="24"/>
        </w:rPr>
        <w:t>) to another party (the protection provider).</w:t>
      </w:r>
    </w:p>
    <w:p w:rsidR="00ED1026" w:rsidRPr="00934BFC" w:rsidRDefault="00ED1026" w:rsidP="00ED1026">
      <w:pPr>
        <w:ind w:left="720"/>
        <w:rPr>
          <w:rFonts w:cs="Arial"/>
          <w:sz w:val="24"/>
        </w:rPr>
      </w:pPr>
    </w:p>
    <w:p w:rsidR="00ED1026" w:rsidRPr="00934BFC" w:rsidRDefault="00ED1026" w:rsidP="00ED1026">
      <w:pPr>
        <w:ind w:left="1440"/>
        <w:rPr>
          <w:rFonts w:cs="Arial"/>
          <w:sz w:val="24"/>
        </w:rPr>
      </w:pPr>
      <w:r>
        <w:rPr>
          <w:rFonts w:cs="Arial"/>
          <w:sz w:val="24"/>
        </w:rPr>
        <w:t>"</w:t>
      </w:r>
      <w:r w:rsidRPr="00934BFC">
        <w:rPr>
          <w:rFonts w:cs="Arial"/>
          <w:sz w:val="24"/>
        </w:rPr>
        <w:t xml:space="preserve">Derivative </w:t>
      </w:r>
      <w:r w:rsidR="00AE5D26">
        <w:rPr>
          <w:rFonts w:cs="Arial"/>
          <w:sz w:val="24"/>
        </w:rPr>
        <w:t>T</w:t>
      </w:r>
      <w:r w:rsidRPr="00934BFC">
        <w:rPr>
          <w:rFonts w:cs="Arial"/>
          <w:sz w:val="24"/>
        </w:rPr>
        <w:t>ransaction</w:t>
      </w:r>
      <w:r>
        <w:rPr>
          <w:rFonts w:cs="Arial"/>
          <w:sz w:val="24"/>
        </w:rPr>
        <w:t>"</w:t>
      </w:r>
      <w:r w:rsidRPr="00934BFC">
        <w:rPr>
          <w:rFonts w:cs="Arial"/>
          <w:sz w:val="24"/>
        </w:rPr>
        <w:t xml:space="preserve"> includes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other assets.</w:t>
      </w:r>
    </w:p>
    <w:p w:rsidR="00ED1026" w:rsidRPr="00934BFC" w:rsidRDefault="00ED1026" w:rsidP="00ED1026">
      <w:pPr>
        <w:pStyle w:val="ListParagraph"/>
        <w:spacing w:after="0" w:line="240" w:lineRule="auto"/>
        <w:outlineLvl w:val="4"/>
        <w:rPr>
          <w:rFonts w:ascii="Times New Roman" w:hAnsi="Times New Roman"/>
          <w:bCs/>
          <w:iCs/>
          <w:sz w:val="24"/>
          <w:szCs w:val="24"/>
        </w:rPr>
      </w:pPr>
    </w:p>
    <w:p w:rsidR="00ED1026" w:rsidRPr="00934BFC" w:rsidRDefault="00ED1026" w:rsidP="00ED1026">
      <w:pPr>
        <w:pStyle w:val="ListParagraph"/>
        <w:spacing w:after="0" w:line="240" w:lineRule="auto"/>
        <w:ind w:left="1440"/>
        <w:outlineLvl w:val="4"/>
        <w:rPr>
          <w:rFonts w:ascii="Times New Roman" w:hAnsi="Times New Roman"/>
          <w:bCs/>
          <w:sz w:val="24"/>
          <w:szCs w:val="24"/>
        </w:rPr>
      </w:pPr>
      <w:r>
        <w:rPr>
          <w:rFonts w:ascii="Times New Roman" w:hAnsi="Times New Roman"/>
          <w:bCs/>
          <w:iCs/>
          <w:sz w:val="24"/>
          <w:szCs w:val="24"/>
        </w:rPr>
        <w:lastRenderedPageBreak/>
        <w:t>"</w:t>
      </w:r>
      <w:r w:rsidRPr="00934BFC">
        <w:rPr>
          <w:rFonts w:ascii="Times New Roman" w:hAnsi="Times New Roman"/>
          <w:bCs/>
          <w:iCs/>
          <w:sz w:val="24"/>
          <w:szCs w:val="24"/>
        </w:rPr>
        <w:t xml:space="preserve">Effective </w:t>
      </w:r>
      <w:r w:rsidR="00AE5D26">
        <w:rPr>
          <w:rFonts w:ascii="Times New Roman" w:hAnsi="Times New Roman"/>
          <w:bCs/>
          <w:iCs/>
          <w:sz w:val="24"/>
          <w:szCs w:val="24"/>
        </w:rPr>
        <w:t>M</w:t>
      </w:r>
      <w:r w:rsidRPr="00934BFC">
        <w:rPr>
          <w:rFonts w:ascii="Times New Roman" w:hAnsi="Times New Roman"/>
          <w:bCs/>
          <w:iCs/>
          <w:sz w:val="24"/>
          <w:szCs w:val="24"/>
        </w:rPr>
        <w:t xml:space="preserve">argining </w:t>
      </w:r>
      <w:r w:rsidR="00AE5D26">
        <w:rPr>
          <w:rFonts w:ascii="Times New Roman" w:hAnsi="Times New Roman"/>
          <w:bCs/>
          <w:iCs/>
          <w:sz w:val="24"/>
          <w:szCs w:val="24"/>
        </w:rPr>
        <w:t>A</w:t>
      </w:r>
      <w:r w:rsidRPr="00934BFC">
        <w:rPr>
          <w:rFonts w:ascii="Times New Roman" w:hAnsi="Times New Roman"/>
          <w:bCs/>
          <w:iCs/>
          <w:sz w:val="24"/>
          <w:szCs w:val="24"/>
        </w:rPr>
        <w:t>rrangement</w:t>
      </w:r>
      <w:r>
        <w:rPr>
          <w:rFonts w:ascii="Times New Roman" w:hAnsi="Times New Roman"/>
          <w:bCs/>
          <w:sz w:val="24"/>
          <w:szCs w:val="24"/>
        </w:rPr>
        <w:t>"</w:t>
      </w:r>
      <w:r w:rsidRPr="00934BFC">
        <w:rPr>
          <w:rFonts w:ascii="Times New Roman" w:hAnsi="Times New Roman"/>
          <w:bCs/>
          <w:sz w:val="24"/>
          <w:szCs w:val="24"/>
        </w:rPr>
        <w:t xml:space="preserve"> means a master legal agreement governing derivative transactions between a bank or savings association and a counterparty that requires the counterparty to post, on a daily basis, </w:t>
      </w:r>
      <w:r w:rsidR="00AE5D26">
        <w:rPr>
          <w:rFonts w:ascii="Times New Roman" w:hAnsi="Times New Roman"/>
          <w:bCs/>
          <w:sz w:val="24"/>
          <w:szCs w:val="24"/>
        </w:rPr>
        <w:t xml:space="preserve">the </w:t>
      </w:r>
      <w:r w:rsidRPr="00934BFC">
        <w:rPr>
          <w:rFonts w:ascii="Times New Roman" w:hAnsi="Times New Roman"/>
          <w:bCs/>
          <w:sz w:val="24"/>
          <w:szCs w:val="24"/>
        </w:rPr>
        <w:t>variation margin to fully</w:t>
      </w:r>
      <w:r w:rsidRPr="00ED1026">
        <w:rPr>
          <w:bCs/>
          <w:sz w:val="24"/>
          <w:szCs w:val="24"/>
        </w:rPr>
        <w:t xml:space="preserve"> </w:t>
      </w:r>
      <w:r w:rsidRPr="00934BFC">
        <w:rPr>
          <w:rFonts w:ascii="Times New Roman" w:hAnsi="Times New Roman"/>
          <w:bCs/>
          <w:sz w:val="24"/>
          <w:szCs w:val="24"/>
        </w:rPr>
        <w:t>collateralize that amount of the bank</w:t>
      </w:r>
      <w:r w:rsidR="00AE5D26">
        <w:rPr>
          <w:rFonts w:ascii="Times New Roman" w:hAnsi="Times New Roman"/>
          <w:bCs/>
          <w:sz w:val="24"/>
          <w:szCs w:val="24"/>
        </w:rPr>
        <w:t>'</w:t>
      </w:r>
      <w:r w:rsidRPr="00934BFC">
        <w:rPr>
          <w:rFonts w:ascii="Times New Roman" w:hAnsi="Times New Roman"/>
          <w:bCs/>
          <w:sz w:val="24"/>
          <w:szCs w:val="24"/>
        </w:rPr>
        <w:t>s net credit exposure to the counterparty that exceeds $1,000,000 created by the derivative transactions covered by the agreement.</w:t>
      </w:r>
    </w:p>
    <w:p w:rsidR="00ED1026" w:rsidRPr="00934BFC" w:rsidRDefault="00ED1026" w:rsidP="00ED1026">
      <w:pPr>
        <w:outlineLvl w:val="4"/>
        <w:rPr>
          <w:rFonts w:cs="Calibri"/>
          <w:bCs/>
        </w:rPr>
      </w:pPr>
    </w:p>
    <w:p w:rsidR="00ED1026" w:rsidRPr="00934BFC" w:rsidRDefault="00ED1026" w:rsidP="00ED1026">
      <w:pPr>
        <w:pStyle w:val="ListParagraph"/>
        <w:tabs>
          <w:tab w:val="left" w:pos="1440"/>
        </w:tabs>
        <w:spacing w:after="0" w:line="240" w:lineRule="auto"/>
        <w:ind w:left="1440"/>
        <w:outlineLvl w:val="4"/>
        <w:rPr>
          <w:rFonts w:ascii="Times New Roman" w:hAnsi="Times New Roman"/>
          <w:bCs/>
          <w:sz w:val="24"/>
          <w:szCs w:val="24"/>
        </w:rPr>
      </w:pPr>
      <w:r>
        <w:rPr>
          <w:rFonts w:ascii="Times New Roman" w:hAnsi="Times New Roman"/>
          <w:bCs/>
          <w:iCs/>
          <w:sz w:val="24"/>
          <w:szCs w:val="24"/>
        </w:rPr>
        <w:t>"</w:t>
      </w:r>
      <w:r w:rsidRPr="00934BFC">
        <w:rPr>
          <w:rFonts w:ascii="Times New Roman" w:hAnsi="Times New Roman"/>
          <w:bCs/>
          <w:iCs/>
          <w:sz w:val="24"/>
          <w:szCs w:val="24"/>
        </w:rPr>
        <w:t xml:space="preserve">Eligible </w:t>
      </w:r>
      <w:r w:rsidR="00AE5D26">
        <w:rPr>
          <w:rFonts w:ascii="Times New Roman" w:hAnsi="Times New Roman"/>
          <w:bCs/>
          <w:iCs/>
          <w:sz w:val="24"/>
          <w:szCs w:val="24"/>
        </w:rPr>
        <w:t>C</w:t>
      </w:r>
      <w:r w:rsidRPr="00934BFC">
        <w:rPr>
          <w:rFonts w:ascii="Times New Roman" w:hAnsi="Times New Roman"/>
          <w:bCs/>
          <w:iCs/>
          <w:sz w:val="24"/>
          <w:szCs w:val="24"/>
        </w:rPr>
        <w:t xml:space="preserve">redit </w:t>
      </w:r>
      <w:r w:rsidR="00AE5D26">
        <w:rPr>
          <w:rFonts w:ascii="Times New Roman" w:hAnsi="Times New Roman"/>
          <w:bCs/>
          <w:iCs/>
          <w:sz w:val="24"/>
          <w:szCs w:val="24"/>
        </w:rPr>
        <w:t>D</w:t>
      </w:r>
      <w:r w:rsidRPr="00934BFC">
        <w:rPr>
          <w:rFonts w:ascii="Times New Roman" w:hAnsi="Times New Roman"/>
          <w:bCs/>
          <w:iCs/>
          <w:sz w:val="24"/>
          <w:szCs w:val="24"/>
        </w:rPr>
        <w:t>erivative</w:t>
      </w:r>
      <w:r>
        <w:rPr>
          <w:rFonts w:ascii="Times New Roman" w:hAnsi="Times New Roman"/>
          <w:bCs/>
          <w:iCs/>
          <w:sz w:val="24"/>
          <w:szCs w:val="24"/>
        </w:rPr>
        <w:t>"</w:t>
      </w:r>
      <w:r w:rsidRPr="00934BFC">
        <w:rPr>
          <w:rFonts w:ascii="Times New Roman" w:hAnsi="Times New Roman"/>
          <w:bCs/>
          <w:iCs/>
          <w:sz w:val="24"/>
          <w:szCs w:val="24"/>
        </w:rPr>
        <w:t xml:space="preserve"> </w:t>
      </w:r>
      <w:r w:rsidRPr="00934BFC">
        <w:rPr>
          <w:rFonts w:ascii="Times New Roman" w:hAnsi="Times New Roman"/>
          <w:bCs/>
          <w:sz w:val="24"/>
          <w:szCs w:val="24"/>
        </w:rPr>
        <w:t>means a single-name credit derivative or a standard, non-tranched index credit derivative provided that:</w:t>
      </w:r>
    </w:p>
    <w:p w:rsidR="00ED1026" w:rsidRPr="00934BFC" w:rsidRDefault="00ED1026" w:rsidP="00ED1026">
      <w:pPr>
        <w:overflowPunct/>
        <w:autoSpaceDE/>
        <w:autoSpaceDN/>
        <w:adjustRightInd/>
        <w:ind w:left="144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The derivative contract meets the requirements of an eligible guarantee, as defined in Section 32 of the Act</w:t>
      </w:r>
      <w:r w:rsidR="00AE5D26">
        <w:rPr>
          <w:bCs/>
          <w:sz w:val="24"/>
          <w:szCs w:val="24"/>
        </w:rPr>
        <w:t>,</w:t>
      </w:r>
      <w:r w:rsidR="007D44CE">
        <w:rPr>
          <w:bCs/>
          <w:sz w:val="24"/>
          <w:szCs w:val="24"/>
        </w:rPr>
        <w:t xml:space="preserve"> </w:t>
      </w:r>
      <w:r w:rsidRPr="00934BFC">
        <w:rPr>
          <w:bCs/>
          <w:sz w:val="24"/>
          <w:szCs w:val="24"/>
        </w:rPr>
        <w:t>Section 6013 of the Savings Bank Act, or</w:t>
      </w:r>
      <w:r w:rsidRPr="00934BFC">
        <w:rPr>
          <w:b/>
          <w:bCs/>
          <w:sz w:val="24"/>
          <w:szCs w:val="24"/>
        </w:rPr>
        <w:t xml:space="preserve"> </w:t>
      </w:r>
      <w:r w:rsidRPr="00934BFC">
        <w:rPr>
          <w:bCs/>
          <w:sz w:val="24"/>
          <w:szCs w:val="24"/>
        </w:rPr>
        <w:t>this Part and has been confirmed by the protection purchaser and the protection provider;</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Any assignment of the derivative contract has been confirmed by all relevant parties;</w:t>
      </w:r>
    </w:p>
    <w:p w:rsidR="00ED1026" w:rsidRPr="00934BFC" w:rsidRDefault="00ED1026" w:rsidP="00ED1026">
      <w:pPr>
        <w:overflowPunct/>
        <w:autoSpaceDE/>
        <w:autoSpaceDN/>
        <w:adjustRightInd/>
        <w:ind w:left="1440"/>
        <w:textAlignment w:val="auto"/>
        <w:outlineLvl w:val="4"/>
        <w:rPr>
          <w:bCs/>
          <w:sz w:val="24"/>
          <w:szCs w:val="24"/>
        </w:rPr>
      </w:pPr>
    </w:p>
    <w:p w:rsidR="00ED1026" w:rsidRPr="00934BFC" w:rsidRDefault="00ED1026" w:rsidP="00ED1026">
      <w:pPr>
        <w:overflowPunct/>
        <w:autoSpaceDE/>
        <w:autoSpaceDN/>
        <w:adjustRightInd/>
        <w:ind w:left="2160" w:firstLine="1"/>
        <w:textAlignment w:val="auto"/>
        <w:outlineLvl w:val="4"/>
        <w:rPr>
          <w:bCs/>
          <w:sz w:val="24"/>
          <w:szCs w:val="24"/>
        </w:rPr>
      </w:pPr>
      <w:r w:rsidRPr="00934BFC">
        <w:rPr>
          <w:bCs/>
          <w:sz w:val="24"/>
          <w:szCs w:val="24"/>
        </w:rPr>
        <w:t>If the credit derivative is a credit default swap, the derivative contract includes the following credit events:</w:t>
      </w:r>
    </w:p>
    <w:p w:rsidR="00ED1026" w:rsidRPr="00934BFC" w:rsidRDefault="00ED1026" w:rsidP="00ED1026">
      <w:pPr>
        <w:overflowPunct/>
        <w:autoSpaceDE/>
        <w:autoSpaceDN/>
        <w:adjustRightInd/>
        <w:ind w:left="2880"/>
        <w:textAlignment w:val="auto"/>
        <w:outlineLvl w:val="4"/>
        <w:rPr>
          <w:bCs/>
          <w:sz w:val="24"/>
          <w:szCs w:val="24"/>
        </w:rPr>
      </w:pPr>
    </w:p>
    <w:p w:rsidR="00ED1026" w:rsidRPr="00934BFC" w:rsidRDefault="00ED1026" w:rsidP="00ED1026">
      <w:pPr>
        <w:overflowPunct/>
        <w:autoSpaceDE/>
        <w:autoSpaceDN/>
        <w:adjustRightInd/>
        <w:ind w:left="2880"/>
        <w:textAlignment w:val="auto"/>
        <w:outlineLvl w:val="4"/>
        <w:rPr>
          <w:bCs/>
          <w:sz w:val="24"/>
          <w:szCs w:val="24"/>
        </w:rPr>
      </w:pPr>
      <w:r w:rsidRPr="00934BFC">
        <w:rPr>
          <w:bCs/>
          <w:sz w:val="24"/>
          <w:szCs w:val="24"/>
        </w:rPr>
        <w:t>Failure to pay any amount due under the terms of the reference exposure, subject to any applicable minimal payment threshold that is consistent with standard market practice and with a grace period that is closely in line with the grace period of the reference exposure; and</w:t>
      </w:r>
    </w:p>
    <w:p w:rsidR="00ED1026" w:rsidRPr="00934BFC" w:rsidRDefault="00ED1026" w:rsidP="00ED1026">
      <w:pPr>
        <w:overflowPunct/>
        <w:autoSpaceDE/>
        <w:autoSpaceDN/>
        <w:adjustRightInd/>
        <w:ind w:left="2880"/>
        <w:textAlignment w:val="auto"/>
        <w:outlineLvl w:val="4"/>
        <w:rPr>
          <w:bCs/>
          <w:sz w:val="24"/>
          <w:szCs w:val="24"/>
        </w:rPr>
      </w:pPr>
    </w:p>
    <w:p w:rsidR="00ED1026" w:rsidRPr="00934BFC" w:rsidRDefault="00ED1026" w:rsidP="00ED1026">
      <w:pPr>
        <w:overflowPunct/>
        <w:autoSpaceDE/>
        <w:autoSpaceDN/>
        <w:adjustRightInd/>
        <w:ind w:left="2880"/>
        <w:textAlignment w:val="auto"/>
        <w:outlineLvl w:val="4"/>
        <w:rPr>
          <w:bCs/>
          <w:sz w:val="24"/>
          <w:szCs w:val="24"/>
        </w:rPr>
      </w:pPr>
      <w:r w:rsidRPr="00934BFC">
        <w:rPr>
          <w:bCs/>
          <w:sz w:val="24"/>
          <w:szCs w:val="24"/>
        </w:rPr>
        <w:t>Bankruptcy, insolvency or inability of the obligor on the reference exposure to pay its debts, or its failure or admission in writing of its inability generally to pay its debts as they become due</w:t>
      </w:r>
      <w:r w:rsidR="00431AA7">
        <w:rPr>
          <w:bCs/>
          <w:sz w:val="24"/>
          <w:szCs w:val="24"/>
        </w:rPr>
        <w:t>,</w:t>
      </w:r>
      <w:r w:rsidRPr="00934BFC">
        <w:rPr>
          <w:bCs/>
          <w:sz w:val="24"/>
          <w:szCs w:val="24"/>
        </w:rPr>
        <w:t xml:space="preserve"> and similar events;</w:t>
      </w:r>
    </w:p>
    <w:p w:rsidR="00ED1026" w:rsidRPr="00934BFC" w:rsidRDefault="00ED1026" w:rsidP="00ED1026">
      <w:pPr>
        <w:overflowPunct/>
        <w:autoSpaceDE/>
        <w:autoSpaceDN/>
        <w:adjustRightInd/>
        <w:ind w:left="288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The terms and conditions dictating the manner in which the derivative contract is to be settled are incorporated into the contract;</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If the derivative contract allows for cash settlement, the contract incorporates a robust valuation process to estimate loss with respect to the derivative reliably and specifies a reasonable period for obtaining post-credit event valuations of the reference exposure;</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If the derivative contract requires the protection purchaser to transfer an exposure to the protection provider at settlement, the terms of at least one of the exposures that is permitted to be transferred under the contract</w:t>
      </w:r>
      <w:r w:rsidRPr="00ED1026">
        <w:rPr>
          <w:bCs/>
          <w:sz w:val="24"/>
          <w:szCs w:val="24"/>
        </w:rPr>
        <w:t xml:space="preserve"> </w:t>
      </w:r>
      <w:r w:rsidRPr="00934BFC">
        <w:rPr>
          <w:bCs/>
          <w:sz w:val="24"/>
          <w:szCs w:val="24"/>
        </w:rPr>
        <w:t>provides that any required consent to transfer may not be unreasonably withheld; and</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lastRenderedPageBreak/>
        <w:t>If the credit derivative is a credit default swap, the derivative contract clearly identifies the parties responsible for determining whether a credit event has occurred, specifies that this determination is not the sole responsibility of the protection provider, and gives the protection purchaser the right to notify the protection provider of the occurrence of a credit event.</w:t>
      </w:r>
    </w:p>
    <w:p w:rsidR="00ED1026" w:rsidRPr="00934BFC" w:rsidRDefault="00ED1026" w:rsidP="00ED1026">
      <w:pPr>
        <w:pStyle w:val="ListParagraph"/>
        <w:spacing w:after="0" w:line="240" w:lineRule="auto"/>
        <w:outlineLvl w:val="4"/>
        <w:rPr>
          <w:rFonts w:cs="Calibri"/>
          <w:bCs/>
        </w:rPr>
      </w:pPr>
    </w:p>
    <w:p w:rsidR="00ED1026" w:rsidRPr="00934BFC" w:rsidRDefault="00ED1026" w:rsidP="00ED1026">
      <w:pPr>
        <w:pStyle w:val="ListParagraph"/>
        <w:spacing w:after="0" w:line="240" w:lineRule="auto"/>
        <w:ind w:left="1440"/>
        <w:outlineLvl w:val="4"/>
        <w:rPr>
          <w:rFonts w:ascii="Times New (W1)" w:hAnsi="Times New (W1)" w:cs="Times New (W1)"/>
          <w:bCs/>
          <w:sz w:val="24"/>
          <w:szCs w:val="24"/>
        </w:rPr>
      </w:pPr>
      <w:r>
        <w:rPr>
          <w:rFonts w:ascii="Times New (W1)" w:hAnsi="Times New (W1)" w:cs="Times New (W1)"/>
          <w:bCs/>
          <w:sz w:val="24"/>
          <w:szCs w:val="24"/>
        </w:rPr>
        <w:t>"</w:t>
      </w:r>
      <w:r w:rsidRPr="00934BFC">
        <w:rPr>
          <w:rFonts w:ascii="Times New (W1)" w:hAnsi="Times New (W1)" w:cs="Times New (W1)"/>
          <w:bCs/>
          <w:sz w:val="24"/>
          <w:szCs w:val="24"/>
        </w:rPr>
        <w:t xml:space="preserve">Eligible </w:t>
      </w:r>
      <w:r w:rsidR="00431AA7">
        <w:rPr>
          <w:rFonts w:ascii="Times New (W1)" w:hAnsi="Times New (W1)" w:cs="Times New (W1)"/>
          <w:bCs/>
          <w:sz w:val="24"/>
          <w:szCs w:val="24"/>
        </w:rPr>
        <w:t>G</w:t>
      </w:r>
      <w:r w:rsidRPr="00934BFC">
        <w:rPr>
          <w:rFonts w:ascii="Times New (W1)" w:hAnsi="Times New (W1)" w:cs="Times New (W1)"/>
          <w:bCs/>
          <w:sz w:val="24"/>
          <w:szCs w:val="24"/>
        </w:rPr>
        <w:t>uarantee</w:t>
      </w:r>
      <w:r>
        <w:rPr>
          <w:rFonts w:ascii="Times New (W1)" w:hAnsi="Times New (W1)" w:cs="Times New (W1)"/>
          <w:bCs/>
          <w:sz w:val="24"/>
          <w:szCs w:val="24"/>
        </w:rPr>
        <w:t>"</w:t>
      </w:r>
      <w:r w:rsidRPr="00934BFC">
        <w:rPr>
          <w:rFonts w:ascii="Times New (W1)" w:hAnsi="Times New (W1)" w:cs="Times New (W1)"/>
          <w:bCs/>
          <w:sz w:val="24"/>
          <w:szCs w:val="24"/>
        </w:rPr>
        <w:t xml:space="preserve"> means a guarantee that:</w:t>
      </w:r>
    </w:p>
    <w:p w:rsidR="00ED1026" w:rsidRPr="00934BFC" w:rsidRDefault="00ED1026" w:rsidP="00ED1026">
      <w:pPr>
        <w:pStyle w:val="ListParagraph"/>
        <w:spacing w:after="0" w:line="240" w:lineRule="auto"/>
        <w:ind w:left="1440"/>
        <w:outlineLvl w:val="4"/>
        <w:rPr>
          <w:rFonts w:ascii="Times New (W1)" w:hAnsi="Times New (W1)" w:cs="Times New (W1)"/>
          <w:bCs/>
          <w:sz w:val="24"/>
          <w:szCs w:val="24"/>
        </w:rPr>
      </w:pPr>
    </w:p>
    <w:p w:rsidR="00ED1026" w:rsidRPr="00934BFC" w:rsidRDefault="00ED1026" w:rsidP="00ED1026">
      <w:pPr>
        <w:pStyle w:val="ListParagraph"/>
        <w:spacing w:after="0" w:line="240" w:lineRule="auto"/>
        <w:ind w:left="2160"/>
        <w:outlineLvl w:val="4"/>
        <w:rPr>
          <w:rStyle w:val="p"/>
          <w:rFonts w:ascii="Times New (W1)" w:hAnsi="Times New (W1)" w:cs="Times New (W1)"/>
          <w:color w:val="000000"/>
          <w:sz w:val="24"/>
          <w:szCs w:val="24"/>
        </w:rPr>
      </w:pPr>
      <w:r w:rsidRPr="00934BFC">
        <w:rPr>
          <w:rStyle w:val="p"/>
          <w:rFonts w:ascii="Times New (W1)" w:hAnsi="Times New (W1)" w:cs="Times New (W1)"/>
          <w:color w:val="000000"/>
          <w:sz w:val="24"/>
          <w:szCs w:val="24"/>
        </w:rPr>
        <w:t>Is written and unconditional;</w:t>
      </w:r>
    </w:p>
    <w:p w:rsidR="00ED1026" w:rsidRPr="00934BFC" w:rsidRDefault="00ED1026" w:rsidP="00ED1026">
      <w:pPr>
        <w:pStyle w:val="ListParagraph"/>
        <w:spacing w:after="0" w:line="240" w:lineRule="auto"/>
        <w:ind w:left="2160"/>
        <w:outlineLvl w:val="4"/>
        <w:rPr>
          <w:rStyle w:val="p"/>
          <w:rFonts w:ascii="Times New (W1)" w:hAnsi="Times New (W1)" w:cs="Times New (W1)"/>
          <w:bCs/>
          <w:sz w:val="24"/>
          <w:szCs w:val="24"/>
        </w:rPr>
      </w:pPr>
    </w:p>
    <w:p w:rsidR="00ED1026" w:rsidRPr="00934BFC" w:rsidRDefault="00ED1026" w:rsidP="00ED1026">
      <w:pPr>
        <w:pStyle w:val="ListParagraph"/>
        <w:spacing w:after="0" w:line="240" w:lineRule="auto"/>
        <w:ind w:left="2160"/>
        <w:outlineLvl w:val="4"/>
        <w:rPr>
          <w:rStyle w:val="p"/>
          <w:rFonts w:ascii="Times New (W1)" w:hAnsi="Times New (W1)" w:cs="Times New (W1)"/>
          <w:color w:val="000000"/>
          <w:sz w:val="24"/>
          <w:szCs w:val="24"/>
        </w:rPr>
      </w:pPr>
      <w:r w:rsidRPr="00934BFC">
        <w:rPr>
          <w:rStyle w:val="p"/>
          <w:rFonts w:ascii="Times New (W1)" w:hAnsi="Times New (W1)" w:cs="Times New (W1)"/>
          <w:color w:val="000000"/>
          <w:sz w:val="24"/>
          <w:szCs w:val="24"/>
        </w:rPr>
        <w:t>Covers all, or a pro rata portion of</w:t>
      </w:r>
      <w:r w:rsidR="00431AA7">
        <w:rPr>
          <w:rStyle w:val="p"/>
          <w:rFonts w:ascii="Times New (W1)" w:hAnsi="Times New (W1)" w:cs="Times New (W1)"/>
          <w:color w:val="000000"/>
          <w:sz w:val="24"/>
          <w:szCs w:val="24"/>
        </w:rPr>
        <w:t>,</w:t>
      </w:r>
      <w:r w:rsidRPr="00934BFC">
        <w:rPr>
          <w:rStyle w:val="p"/>
          <w:rFonts w:ascii="Times New (W1)" w:hAnsi="Times New (W1)" w:cs="Times New (W1)"/>
          <w:color w:val="000000"/>
          <w:sz w:val="24"/>
          <w:szCs w:val="24"/>
        </w:rPr>
        <w:t xml:space="preserve"> all contractual payments of the obligor on the reference exposure;</w:t>
      </w:r>
    </w:p>
    <w:p w:rsidR="00ED1026" w:rsidRPr="00934BFC" w:rsidRDefault="00ED1026" w:rsidP="00ED1026">
      <w:pPr>
        <w:pStyle w:val="ListParagraph"/>
        <w:spacing w:after="0" w:line="240" w:lineRule="auto"/>
        <w:ind w:left="2160"/>
        <w:outlineLvl w:val="4"/>
        <w:rPr>
          <w:rStyle w:val="p"/>
          <w:rFonts w:ascii="Times New (W1)" w:hAnsi="Times New (W1)" w:cs="Times New (W1)"/>
          <w:bCs/>
          <w:sz w:val="24"/>
          <w:szCs w:val="24"/>
        </w:rPr>
      </w:pPr>
    </w:p>
    <w:p w:rsidR="00ED1026" w:rsidRPr="00934BFC" w:rsidRDefault="00ED1026" w:rsidP="00ED1026">
      <w:pPr>
        <w:pStyle w:val="ListParagraph"/>
        <w:spacing w:after="0" w:line="240" w:lineRule="auto"/>
        <w:ind w:left="2160"/>
        <w:outlineLvl w:val="4"/>
        <w:rPr>
          <w:rStyle w:val="p"/>
          <w:rFonts w:ascii="Times New (W1)" w:hAnsi="Times New (W1)" w:cs="Times New (W1)"/>
          <w:color w:val="000000"/>
          <w:sz w:val="24"/>
          <w:szCs w:val="24"/>
        </w:rPr>
      </w:pPr>
      <w:r w:rsidRPr="00934BFC">
        <w:rPr>
          <w:rStyle w:val="p"/>
          <w:rFonts w:ascii="Times New (W1)" w:hAnsi="Times New (W1)" w:cs="Times New (W1)"/>
          <w:color w:val="000000"/>
          <w:sz w:val="24"/>
          <w:szCs w:val="24"/>
        </w:rPr>
        <w:t>Gives the beneficiary a direct claim against the protection provider;</w:t>
      </w:r>
    </w:p>
    <w:p w:rsidR="00ED1026" w:rsidRPr="00934BFC" w:rsidRDefault="00ED1026" w:rsidP="00ED1026">
      <w:pPr>
        <w:pStyle w:val="ListParagraph"/>
        <w:spacing w:after="0" w:line="240" w:lineRule="auto"/>
        <w:ind w:left="2160"/>
        <w:outlineLvl w:val="4"/>
        <w:rPr>
          <w:rStyle w:val="p"/>
          <w:rFonts w:ascii="Times New (W1)" w:hAnsi="Times New (W1)" w:cs="Times New (W1)"/>
          <w:bCs/>
          <w:sz w:val="24"/>
          <w:szCs w:val="24"/>
        </w:rPr>
      </w:pPr>
    </w:p>
    <w:p w:rsidR="00ED1026" w:rsidRPr="00934BFC" w:rsidRDefault="00ED1026" w:rsidP="00ED1026">
      <w:pPr>
        <w:pStyle w:val="ListParagraph"/>
        <w:tabs>
          <w:tab w:val="left" w:pos="1170"/>
        </w:tabs>
        <w:spacing w:after="0" w:line="240" w:lineRule="auto"/>
        <w:ind w:left="2160"/>
        <w:outlineLvl w:val="4"/>
        <w:rPr>
          <w:rStyle w:val="p"/>
          <w:rFonts w:ascii="Times New (W1)" w:hAnsi="Times New (W1)" w:cs="Times New (W1)"/>
          <w:color w:val="000000"/>
          <w:sz w:val="24"/>
          <w:szCs w:val="24"/>
        </w:rPr>
      </w:pPr>
      <w:r w:rsidRPr="00934BFC">
        <w:rPr>
          <w:rStyle w:val="p"/>
          <w:rFonts w:ascii="Times New (W1)" w:hAnsi="Times New (W1)" w:cs="Times New (W1)"/>
          <w:color w:val="000000"/>
          <w:sz w:val="24"/>
          <w:szCs w:val="24"/>
        </w:rPr>
        <w:t>Is not unilaterally cancelable by the protection provider for reasons other than the breach of the contract by the beneficiary;</w:t>
      </w:r>
    </w:p>
    <w:p w:rsidR="00ED1026" w:rsidRPr="00934BFC" w:rsidRDefault="00ED1026" w:rsidP="00ED1026">
      <w:pPr>
        <w:pStyle w:val="ListParagraph"/>
        <w:tabs>
          <w:tab w:val="left" w:pos="1170"/>
        </w:tabs>
        <w:spacing w:after="0" w:line="240" w:lineRule="auto"/>
        <w:ind w:left="2160"/>
        <w:outlineLvl w:val="4"/>
        <w:rPr>
          <w:rStyle w:val="p"/>
          <w:rFonts w:ascii="Times New (W1)" w:hAnsi="Times New (W1)" w:cs="Times New (W1)"/>
          <w:bCs/>
          <w:sz w:val="24"/>
          <w:szCs w:val="24"/>
        </w:rPr>
      </w:pPr>
    </w:p>
    <w:p w:rsidR="00ED1026" w:rsidRPr="00934BFC" w:rsidRDefault="00ED1026" w:rsidP="00ED1026">
      <w:pPr>
        <w:pStyle w:val="ListParagraph"/>
        <w:spacing w:after="0" w:line="240" w:lineRule="auto"/>
        <w:ind w:left="2160"/>
        <w:outlineLvl w:val="4"/>
        <w:rPr>
          <w:rStyle w:val="p"/>
          <w:rFonts w:ascii="Times New (W1)" w:hAnsi="Times New (W1)" w:cs="Times New (W1)"/>
          <w:color w:val="000000"/>
          <w:sz w:val="24"/>
          <w:szCs w:val="24"/>
        </w:rPr>
      </w:pPr>
      <w:r w:rsidRPr="00934BFC">
        <w:rPr>
          <w:rStyle w:val="p"/>
          <w:rFonts w:ascii="Times New (W1)" w:hAnsi="Times New (W1)" w:cs="Times New (W1)"/>
          <w:color w:val="000000"/>
          <w:sz w:val="24"/>
          <w:szCs w:val="24"/>
        </w:rPr>
        <w:t>Is legally enforceable against the protection provider in a jurisdiction where the protection provider has sufficient assets against which a judgment may be attached and enforced;</w:t>
      </w:r>
    </w:p>
    <w:p w:rsidR="00ED1026" w:rsidRPr="00934BFC" w:rsidRDefault="00ED1026" w:rsidP="00ED1026">
      <w:pPr>
        <w:pStyle w:val="ListParagraph"/>
        <w:spacing w:after="0" w:line="240" w:lineRule="auto"/>
        <w:ind w:left="2160"/>
        <w:outlineLvl w:val="4"/>
        <w:rPr>
          <w:rStyle w:val="p"/>
          <w:rFonts w:ascii="Times New (W1)" w:hAnsi="Times New (W1)" w:cs="Times New (W1)"/>
          <w:bCs/>
          <w:sz w:val="24"/>
          <w:szCs w:val="24"/>
        </w:rPr>
      </w:pPr>
    </w:p>
    <w:p w:rsidR="00ED1026" w:rsidRPr="00934BFC" w:rsidRDefault="00ED1026" w:rsidP="00ED1026">
      <w:pPr>
        <w:pStyle w:val="ListParagraph"/>
        <w:spacing w:after="0" w:line="240" w:lineRule="auto"/>
        <w:ind w:left="2160"/>
        <w:outlineLvl w:val="4"/>
        <w:rPr>
          <w:rStyle w:val="p"/>
          <w:rFonts w:ascii="Times New (W1)" w:hAnsi="Times New (W1)" w:cs="Times New (W1)"/>
          <w:color w:val="000000"/>
          <w:sz w:val="24"/>
          <w:szCs w:val="24"/>
        </w:rPr>
      </w:pPr>
      <w:r w:rsidRPr="00934BFC">
        <w:rPr>
          <w:rStyle w:val="p"/>
          <w:rFonts w:ascii="Times New (W1)" w:hAnsi="Times New (W1)" w:cs="Times New (W1)"/>
          <w:color w:val="000000"/>
          <w:sz w:val="24"/>
          <w:szCs w:val="24"/>
        </w:rPr>
        <w:t>Requires the protection provider to make payment to the beneficiary on the occurrence of a default (as defined in the guarantee) of the obligor on the reference exposure in a timely manner without the beneficiary first having to take legal actions to pursue the obligor for payment;</w:t>
      </w:r>
    </w:p>
    <w:p w:rsidR="00ED1026" w:rsidRPr="00934BFC" w:rsidRDefault="00ED1026" w:rsidP="00ED1026">
      <w:pPr>
        <w:pStyle w:val="ListParagraph"/>
        <w:spacing w:after="0" w:line="240" w:lineRule="auto"/>
        <w:ind w:left="2160"/>
        <w:outlineLvl w:val="4"/>
        <w:rPr>
          <w:rStyle w:val="p"/>
          <w:rFonts w:ascii="Times New (W1)" w:hAnsi="Times New (W1)" w:cs="Times New (W1)"/>
          <w:bCs/>
          <w:sz w:val="24"/>
          <w:szCs w:val="24"/>
        </w:rPr>
      </w:pPr>
    </w:p>
    <w:p w:rsidR="00ED1026" w:rsidRPr="00934BFC" w:rsidRDefault="00ED1026" w:rsidP="00ED1026">
      <w:pPr>
        <w:pStyle w:val="ListParagraph"/>
        <w:spacing w:after="0" w:line="240" w:lineRule="auto"/>
        <w:ind w:left="2160"/>
        <w:outlineLvl w:val="4"/>
        <w:rPr>
          <w:rStyle w:val="p"/>
          <w:rFonts w:ascii="Times New (W1)" w:hAnsi="Times New (W1)" w:cs="Times New (W1)"/>
          <w:color w:val="000000"/>
          <w:sz w:val="24"/>
          <w:szCs w:val="24"/>
        </w:rPr>
      </w:pPr>
      <w:r w:rsidRPr="00934BFC">
        <w:rPr>
          <w:rStyle w:val="p"/>
          <w:rFonts w:ascii="Times New (W1)" w:hAnsi="Times New (W1)" w:cs="Times New (W1)"/>
          <w:color w:val="000000"/>
          <w:sz w:val="24"/>
          <w:szCs w:val="24"/>
        </w:rPr>
        <w:t>Does not increase the beneficiary's cost of credit protection on the guarantee in response to deterioration in the credit quality of the reference exposure; and</w:t>
      </w:r>
    </w:p>
    <w:p w:rsidR="00ED1026" w:rsidRPr="00934BFC" w:rsidRDefault="00ED1026" w:rsidP="00ED1026">
      <w:pPr>
        <w:pStyle w:val="ListParagraph"/>
        <w:spacing w:after="0" w:line="240" w:lineRule="auto"/>
        <w:ind w:left="2160"/>
        <w:outlineLvl w:val="4"/>
        <w:rPr>
          <w:rStyle w:val="p"/>
          <w:rFonts w:ascii="Times New (W1)" w:hAnsi="Times New (W1)" w:cs="Times New (W1)"/>
          <w:bCs/>
          <w:sz w:val="24"/>
          <w:szCs w:val="24"/>
        </w:rPr>
      </w:pPr>
    </w:p>
    <w:p w:rsidR="00ED1026" w:rsidRPr="00934BFC" w:rsidRDefault="00ED1026" w:rsidP="00ED1026">
      <w:pPr>
        <w:pStyle w:val="ListParagraph"/>
        <w:spacing w:after="0" w:line="240" w:lineRule="auto"/>
        <w:ind w:left="2160"/>
        <w:outlineLvl w:val="4"/>
        <w:rPr>
          <w:rStyle w:val="p"/>
          <w:rFonts w:ascii="Times New (W1)" w:hAnsi="Times New (W1)" w:cs="Times New (W1)"/>
          <w:color w:val="000000"/>
          <w:sz w:val="24"/>
          <w:szCs w:val="24"/>
        </w:rPr>
      </w:pPr>
      <w:r w:rsidRPr="00934BFC">
        <w:rPr>
          <w:rStyle w:val="p"/>
          <w:rFonts w:ascii="Times New (W1)" w:hAnsi="Times New (W1)" w:cs="Times New (W1)"/>
          <w:color w:val="000000"/>
          <w:sz w:val="24"/>
          <w:szCs w:val="24"/>
        </w:rPr>
        <w:t>Is not provided by an affiliate of the bank, unless the affiliate is an insured depository institution, bank, securities broker or dealer, or insurance company that:</w:t>
      </w:r>
    </w:p>
    <w:p w:rsidR="00ED1026" w:rsidRPr="00934BFC" w:rsidRDefault="00ED1026" w:rsidP="00ED1026">
      <w:pPr>
        <w:pStyle w:val="ListParagraph"/>
        <w:spacing w:after="0" w:line="240" w:lineRule="auto"/>
        <w:ind w:left="2160"/>
        <w:outlineLvl w:val="4"/>
        <w:rPr>
          <w:rStyle w:val="p"/>
          <w:rFonts w:ascii="Times New (W1)" w:hAnsi="Times New (W1)" w:cs="Times New (W1)"/>
          <w:bCs/>
          <w:sz w:val="24"/>
          <w:szCs w:val="24"/>
        </w:rPr>
      </w:pPr>
    </w:p>
    <w:p w:rsidR="00ED1026" w:rsidRPr="00934BFC" w:rsidRDefault="00ED1026" w:rsidP="00ED1026">
      <w:pPr>
        <w:pStyle w:val="ListParagraph"/>
        <w:spacing w:after="0" w:line="240" w:lineRule="auto"/>
        <w:ind w:left="2880"/>
        <w:outlineLvl w:val="4"/>
        <w:rPr>
          <w:rStyle w:val="p"/>
          <w:rFonts w:ascii="Times New (W1)" w:hAnsi="Times New (W1)" w:cs="Times New (W1)"/>
          <w:color w:val="000000"/>
          <w:sz w:val="24"/>
          <w:szCs w:val="24"/>
        </w:rPr>
      </w:pPr>
      <w:r w:rsidRPr="00934BFC">
        <w:rPr>
          <w:rStyle w:val="p"/>
          <w:rFonts w:ascii="Times New (W1)" w:hAnsi="Times New (W1)" w:cs="Times New (W1)"/>
          <w:color w:val="000000"/>
          <w:sz w:val="24"/>
          <w:szCs w:val="24"/>
        </w:rPr>
        <w:t>Does not control the bank; and</w:t>
      </w:r>
    </w:p>
    <w:p w:rsidR="00ED1026" w:rsidRPr="00934BFC" w:rsidRDefault="00ED1026" w:rsidP="00ED1026">
      <w:pPr>
        <w:pStyle w:val="ListParagraph"/>
        <w:spacing w:after="0" w:line="240" w:lineRule="auto"/>
        <w:ind w:left="2880"/>
        <w:outlineLvl w:val="4"/>
        <w:rPr>
          <w:rStyle w:val="p"/>
          <w:rFonts w:ascii="Times New (W1)" w:hAnsi="Times New (W1)" w:cs="Times New (W1)"/>
          <w:bCs/>
          <w:sz w:val="24"/>
          <w:szCs w:val="24"/>
        </w:rPr>
      </w:pPr>
    </w:p>
    <w:p w:rsidR="00ED1026" w:rsidRPr="00934BFC" w:rsidRDefault="00ED1026" w:rsidP="00ED1026">
      <w:pPr>
        <w:pStyle w:val="ListParagraph"/>
        <w:spacing w:after="0" w:line="240" w:lineRule="auto"/>
        <w:ind w:left="2880"/>
        <w:outlineLvl w:val="4"/>
        <w:rPr>
          <w:rFonts w:ascii="Times New (W1)" w:hAnsi="Times New (W1)" w:cs="Times New (W1)"/>
          <w:bCs/>
          <w:sz w:val="24"/>
          <w:szCs w:val="24"/>
        </w:rPr>
      </w:pPr>
      <w:r w:rsidRPr="00934BFC">
        <w:rPr>
          <w:rStyle w:val="p"/>
          <w:rFonts w:ascii="Times New (W1)" w:hAnsi="Times New (W1)" w:cs="Times New (W1)"/>
          <w:color w:val="000000"/>
          <w:sz w:val="24"/>
          <w:szCs w:val="24"/>
        </w:rPr>
        <w:t>Is subject to consolidated supervision and regulation comparable to that imposed on U.S. depository institutions, securities broker-dealers, or insurance companies (as the case may be).</w:t>
      </w:r>
    </w:p>
    <w:p w:rsidR="00ED1026" w:rsidRPr="00934BFC" w:rsidRDefault="00ED1026" w:rsidP="00ED1026">
      <w:pPr>
        <w:pStyle w:val="ListParagraph"/>
        <w:spacing w:after="0" w:line="240" w:lineRule="auto"/>
        <w:ind w:left="1080"/>
        <w:outlineLvl w:val="4"/>
        <w:rPr>
          <w:rFonts w:cs="Calibri"/>
          <w:bCs/>
        </w:rPr>
      </w:pPr>
    </w:p>
    <w:p w:rsidR="00ED1026" w:rsidRPr="00934BFC" w:rsidRDefault="00ED1026" w:rsidP="00ED1026">
      <w:pPr>
        <w:pStyle w:val="ListParagraph"/>
        <w:spacing w:after="0" w:line="240" w:lineRule="auto"/>
        <w:ind w:left="1440"/>
        <w:outlineLvl w:val="4"/>
        <w:rPr>
          <w:rFonts w:ascii="Times New Roman" w:hAnsi="Times New Roman"/>
          <w:bCs/>
          <w:sz w:val="24"/>
          <w:szCs w:val="24"/>
        </w:rPr>
      </w:pPr>
      <w:r>
        <w:rPr>
          <w:rFonts w:ascii="Times New Roman" w:hAnsi="Times New Roman"/>
          <w:bCs/>
          <w:iCs/>
          <w:sz w:val="24"/>
          <w:szCs w:val="24"/>
        </w:rPr>
        <w:t>"</w:t>
      </w:r>
      <w:r w:rsidRPr="00934BFC">
        <w:rPr>
          <w:rFonts w:ascii="Times New Roman" w:hAnsi="Times New Roman"/>
          <w:bCs/>
          <w:iCs/>
          <w:sz w:val="24"/>
          <w:szCs w:val="24"/>
        </w:rPr>
        <w:t xml:space="preserve">Eligible </w:t>
      </w:r>
      <w:r w:rsidR="00431AA7">
        <w:rPr>
          <w:rFonts w:ascii="Times New Roman" w:hAnsi="Times New Roman"/>
          <w:bCs/>
          <w:iCs/>
          <w:sz w:val="24"/>
          <w:szCs w:val="24"/>
        </w:rPr>
        <w:t>P</w:t>
      </w:r>
      <w:r w:rsidRPr="00934BFC">
        <w:rPr>
          <w:rFonts w:ascii="Times New Roman" w:hAnsi="Times New Roman"/>
          <w:bCs/>
          <w:iCs/>
          <w:sz w:val="24"/>
          <w:szCs w:val="24"/>
        </w:rPr>
        <w:t xml:space="preserve">rotection </w:t>
      </w:r>
      <w:r w:rsidR="00431AA7">
        <w:rPr>
          <w:rFonts w:ascii="Times New Roman" w:hAnsi="Times New Roman"/>
          <w:bCs/>
          <w:iCs/>
          <w:sz w:val="24"/>
          <w:szCs w:val="24"/>
        </w:rPr>
        <w:t>P</w:t>
      </w:r>
      <w:r w:rsidRPr="00934BFC">
        <w:rPr>
          <w:rFonts w:ascii="Times New Roman" w:hAnsi="Times New Roman"/>
          <w:bCs/>
          <w:iCs/>
          <w:sz w:val="24"/>
          <w:szCs w:val="24"/>
        </w:rPr>
        <w:t>rovider</w:t>
      </w:r>
      <w:r>
        <w:rPr>
          <w:rFonts w:ascii="Times New Roman" w:hAnsi="Times New Roman"/>
          <w:bCs/>
          <w:iCs/>
          <w:sz w:val="24"/>
          <w:szCs w:val="24"/>
        </w:rPr>
        <w:t>"</w:t>
      </w:r>
      <w:r w:rsidRPr="00934BFC">
        <w:rPr>
          <w:rFonts w:ascii="Times New Roman" w:hAnsi="Times New Roman"/>
          <w:bCs/>
          <w:sz w:val="24"/>
          <w:szCs w:val="24"/>
        </w:rPr>
        <w:t xml:space="preserve"> means:</w:t>
      </w:r>
    </w:p>
    <w:p w:rsidR="00ED1026" w:rsidRPr="00934BFC" w:rsidRDefault="00ED1026" w:rsidP="00ED1026">
      <w:pPr>
        <w:pStyle w:val="ListParagraph"/>
        <w:spacing w:after="0" w:line="240" w:lineRule="auto"/>
        <w:ind w:left="1440"/>
        <w:outlineLvl w:val="4"/>
        <w:rPr>
          <w:rFonts w:ascii="Times New Roman" w:hAnsi="Times New Roman"/>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A sovereign entity (a central government, including the U.S. government</w:t>
      </w:r>
      <w:r w:rsidR="00431AA7">
        <w:rPr>
          <w:bCs/>
          <w:sz w:val="24"/>
          <w:szCs w:val="24"/>
        </w:rPr>
        <w:t>,</w:t>
      </w:r>
      <w:r w:rsidRPr="00934BFC">
        <w:rPr>
          <w:bCs/>
          <w:sz w:val="24"/>
          <w:szCs w:val="24"/>
        </w:rPr>
        <w:t xml:space="preserve"> an agency</w:t>
      </w:r>
      <w:r w:rsidR="00431AA7">
        <w:rPr>
          <w:bCs/>
          <w:sz w:val="24"/>
          <w:szCs w:val="24"/>
        </w:rPr>
        <w:t>,</w:t>
      </w:r>
      <w:r w:rsidRPr="00934BFC">
        <w:rPr>
          <w:bCs/>
          <w:sz w:val="24"/>
          <w:szCs w:val="24"/>
        </w:rPr>
        <w:t xml:space="preserve"> department</w:t>
      </w:r>
      <w:r w:rsidR="00431AA7">
        <w:rPr>
          <w:bCs/>
          <w:sz w:val="24"/>
          <w:szCs w:val="24"/>
        </w:rPr>
        <w:t>,</w:t>
      </w:r>
      <w:r w:rsidRPr="00934BFC">
        <w:rPr>
          <w:bCs/>
          <w:sz w:val="24"/>
          <w:szCs w:val="24"/>
        </w:rPr>
        <w:t xml:space="preserve"> ministry or central bank);</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lastRenderedPageBreak/>
        <w:t>The Bank for International Settlements</w:t>
      </w:r>
      <w:r w:rsidR="00431AA7">
        <w:rPr>
          <w:bCs/>
          <w:sz w:val="24"/>
          <w:szCs w:val="24"/>
        </w:rPr>
        <w:t>,</w:t>
      </w:r>
      <w:r w:rsidRPr="00934BFC">
        <w:rPr>
          <w:bCs/>
          <w:sz w:val="24"/>
          <w:szCs w:val="24"/>
        </w:rPr>
        <w:t xml:space="preserve"> the International Monetary Fund</w:t>
      </w:r>
      <w:r w:rsidR="00431AA7">
        <w:rPr>
          <w:bCs/>
          <w:sz w:val="24"/>
          <w:szCs w:val="24"/>
        </w:rPr>
        <w:t>,</w:t>
      </w:r>
      <w:r w:rsidRPr="00934BFC">
        <w:rPr>
          <w:bCs/>
          <w:sz w:val="24"/>
          <w:szCs w:val="24"/>
        </w:rPr>
        <w:t xml:space="preserve"> the European Central Bank</w:t>
      </w:r>
      <w:r w:rsidR="00431AA7">
        <w:rPr>
          <w:bCs/>
          <w:sz w:val="24"/>
          <w:szCs w:val="24"/>
        </w:rPr>
        <w:t>,</w:t>
      </w:r>
      <w:r w:rsidRPr="00934BFC">
        <w:rPr>
          <w:bCs/>
          <w:sz w:val="24"/>
          <w:szCs w:val="24"/>
        </w:rPr>
        <w:t xml:space="preserve"> the European Commission or a multilateral development bank;</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A Federal Home Loan Bank;</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The Federal Agricultural Mortgage Corporation;</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A depository institution, as defined in Section 3 of the Federal Deposit Insurance Act (12 USC 1813(c));</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 xml:space="preserve">A </w:t>
      </w:r>
      <w:r w:rsidR="007D44CE">
        <w:rPr>
          <w:bCs/>
          <w:sz w:val="24"/>
          <w:szCs w:val="24"/>
        </w:rPr>
        <w:t xml:space="preserve">federal </w:t>
      </w:r>
      <w:r w:rsidRPr="00934BFC">
        <w:rPr>
          <w:bCs/>
          <w:sz w:val="24"/>
          <w:szCs w:val="24"/>
        </w:rPr>
        <w:t>bank holding company, as defined in Section 2 of the Bank Holding Company Act, as amended (12 USC 1841);</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 xml:space="preserve">A savings and loan holding company, as defined in Section 10 of the </w:t>
      </w:r>
      <w:r w:rsidR="007D44CE">
        <w:rPr>
          <w:bCs/>
          <w:sz w:val="24"/>
          <w:szCs w:val="24"/>
        </w:rPr>
        <w:t xml:space="preserve">federal </w:t>
      </w:r>
      <w:r w:rsidRPr="00934BFC">
        <w:rPr>
          <w:bCs/>
          <w:sz w:val="24"/>
          <w:szCs w:val="24"/>
        </w:rPr>
        <w:t>Home Owners</w:t>
      </w:r>
      <w:r w:rsidR="00E17F21">
        <w:rPr>
          <w:bCs/>
          <w:sz w:val="24"/>
          <w:szCs w:val="24"/>
        </w:rPr>
        <w:t>'</w:t>
      </w:r>
      <w:r w:rsidRPr="00934BFC">
        <w:rPr>
          <w:bCs/>
          <w:sz w:val="24"/>
          <w:szCs w:val="24"/>
        </w:rPr>
        <w:t xml:space="preserve"> Loan Act (12 USC 1467a);</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A securities broker or dealer registered with the SEC under the Securities Exchange Act of 1934 (15 USC 78</w:t>
      </w:r>
      <w:r w:rsidR="001A4F27">
        <w:rPr>
          <w:bCs/>
          <w:sz w:val="24"/>
          <w:szCs w:val="24"/>
        </w:rPr>
        <w:t>o</w:t>
      </w:r>
      <w:r w:rsidRPr="00934BFC">
        <w:rPr>
          <w:bCs/>
          <w:sz w:val="24"/>
          <w:szCs w:val="24"/>
        </w:rPr>
        <w:t>);</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overflowPunct/>
        <w:autoSpaceDE/>
        <w:autoSpaceDN/>
        <w:adjustRightInd/>
        <w:ind w:left="2160"/>
        <w:textAlignment w:val="auto"/>
        <w:outlineLvl w:val="4"/>
        <w:rPr>
          <w:bCs/>
          <w:sz w:val="24"/>
          <w:szCs w:val="24"/>
        </w:rPr>
      </w:pPr>
      <w:r w:rsidRPr="00934BFC">
        <w:rPr>
          <w:bCs/>
          <w:sz w:val="24"/>
          <w:szCs w:val="24"/>
        </w:rPr>
        <w:t xml:space="preserve">An insurance company that is subject to the supervision of a </w:t>
      </w:r>
      <w:r w:rsidR="00DE10F3">
        <w:rPr>
          <w:bCs/>
          <w:sz w:val="24"/>
          <w:szCs w:val="24"/>
        </w:rPr>
        <w:t>s</w:t>
      </w:r>
      <w:r w:rsidRPr="00934BFC">
        <w:rPr>
          <w:bCs/>
          <w:sz w:val="24"/>
          <w:szCs w:val="24"/>
        </w:rPr>
        <w:t>tate insurance regulator;</w:t>
      </w:r>
    </w:p>
    <w:p w:rsidR="00ED1026" w:rsidRPr="00934BFC" w:rsidRDefault="00ED1026" w:rsidP="00ED1026">
      <w:pPr>
        <w:overflowPunct/>
        <w:autoSpaceDE/>
        <w:autoSpaceDN/>
        <w:adjustRightInd/>
        <w:ind w:left="2160"/>
        <w:textAlignment w:val="auto"/>
        <w:outlineLvl w:val="4"/>
        <w:rPr>
          <w:bCs/>
          <w:sz w:val="24"/>
          <w:szCs w:val="24"/>
        </w:rPr>
      </w:pPr>
    </w:p>
    <w:p w:rsidR="00ED1026" w:rsidRPr="00934BFC" w:rsidRDefault="00ED1026" w:rsidP="00ED1026">
      <w:pPr>
        <w:tabs>
          <w:tab w:val="left" w:pos="1620"/>
        </w:tabs>
        <w:overflowPunct/>
        <w:autoSpaceDE/>
        <w:autoSpaceDN/>
        <w:adjustRightInd/>
        <w:ind w:left="2160"/>
        <w:textAlignment w:val="auto"/>
        <w:outlineLvl w:val="4"/>
        <w:rPr>
          <w:bCs/>
          <w:sz w:val="24"/>
          <w:szCs w:val="24"/>
        </w:rPr>
      </w:pPr>
      <w:r w:rsidRPr="00934BFC">
        <w:rPr>
          <w:bCs/>
          <w:sz w:val="24"/>
          <w:szCs w:val="24"/>
        </w:rPr>
        <w:t>A foreign banking organization;</w:t>
      </w:r>
    </w:p>
    <w:p w:rsidR="00ED1026" w:rsidRPr="00934BFC" w:rsidRDefault="00ED1026" w:rsidP="00ED1026">
      <w:pPr>
        <w:tabs>
          <w:tab w:val="left" w:pos="1620"/>
        </w:tabs>
        <w:overflowPunct/>
        <w:autoSpaceDE/>
        <w:autoSpaceDN/>
        <w:adjustRightInd/>
        <w:ind w:left="2160"/>
        <w:textAlignment w:val="auto"/>
        <w:outlineLvl w:val="4"/>
        <w:rPr>
          <w:bCs/>
          <w:sz w:val="24"/>
          <w:szCs w:val="24"/>
        </w:rPr>
      </w:pPr>
    </w:p>
    <w:p w:rsidR="00ED1026" w:rsidRPr="00934BFC" w:rsidRDefault="00ED1026" w:rsidP="00ED1026">
      <w:pPr>
        <w:pStyle w:val="ListParagraph"/>
        <w:tabs>
          <w:tab w:val="left" w:pos="1620"/>
        </w:tabs>
        <w:spacing w:after="0" w:line="240" w:lineRule="auto"/>
        <w:ind w:left="2160"/>
        <w:outlineLvl w:val="4"/>
        <w:rPr>
          <w:rFonts w:ascii="Times New Roman" w:hAnsi="Times New Roman"/>
          <w:bCs/>
          <w:sz w:val="24"/>
          <w:szCs w:val="24"/>
        </w:rPr>
      </w:pPr>
      <w:r w:rsidRPr="00934BFC">
        <w:rPr>
          <w:rFonts w:ascii="Times New Roman" w:hAnsi="Times New Roman"/>
          <w:bCs/>
          <w:sz w:val="24"/>
          <w:szCs w:val="24"/>
        </w:rPr>
        <w:t>A non-US-based securities firm or a non-US-based insurance company that is subject to consolidated supervision and regulation comparable to</w:t>
      </w:r>
      <w:r w:rsidRPr="00ED1026">
        <w:rPr>
          <w:bCs/>
          <w:sz w:val="24"/>
          <w:szCs w:val="24"/>
        </w:rPr>
        <w:t xml:space="preserve"> </w:t>
      </w:r>
      <w:r w:rsidRPr="00934BFC">
        <w:rPr>
          <w:rFonts w:ascii="Times New Roman" w:hAnsi="Times New Roman"/>
          <w:bCs/>
          <w:sz w:val="24"/>
          <w:szCs w:val="24"/>
        </w:rPr>
        <w:t>that imposed on U.S. depository institutions, securities broker-dealers, or insurance companies; and</w:t>
      </w:r>
    </w:p>
    <w:p w:rsidR="00ED1026" w:rsidRPr="00934BFC" w:rsidRDefault="00ED1026" w:rsidP="00ED1026">
      <w:pPr>
        <w:pStyle w:val="ListParagraph"/>
        <w:tabs>
          <w:tab w:val="left" w:pos="1620"/>
        </w:tabs>
        <w:spacing w:after="0" w:line="240" w:lineRule="auto"/>
        <w:ind w:left="1440"/>
        <w:outlineLvl w:val="4"/>
        <w:rPr>
          <w:rFonts w:ascii="Times New Roman" w:hAnsi="Times New Roman"/>
          <w:bCs/>
          <w:sz w:val="24"/>
          <w:szCs w:val="24"/>
        </w:rPr>
      </w:pPr>
    </w:p>
    <w:p w:rsidR="00ED1026" w:rsidRPr="00934BFC" w:rsidRDefault="00ED1026" w:rsidP="00ED1026">
      <w:pPr>
        <w:pStyle w:val="ListParagraph"/>
        <w:tabs>
          <w:tab w:val="left" w:pos="1620"/>
        </w:tabs>
        <w:spacing w:after="0" w:line="240" w:lineRule="auto"/>
        <w:ind w:left="2160"/>
        <w:outlineLvl w:val="4"/>
        <w:rPr>
          <w:rFonts w:ascii="Times New Roman" w:hAnsi="Times New Roman"/>
          <w:bCs/>
          <w:sz w:val="24"/>
          <w:szCs w:val="24"/>
        </w:rPr>
      </w:pPr>
      <w:r w:rsidRPr="00934BFC">
        <w:rPr>
          <w:rFonts w:ascii="Times New Roman" w:hAnsi="Times New Roman"/>
          <w:bCs/>
          <w:sz w:val="24"/>
          <w:szCs w:val="24"/>
        </w:rPr>
        <w:t>A qualifying central counterparty.</w:t>
      </w:r>
    </w:p>
    <w:p w:rsidR="00ED1026" w:rsidRPr="00934BFC" w:rsidRDefault="00ED1026" w:rsidP="00ED1026">
      <w:pPr>
        <w:pStyle w:val="ListParagraph"/>
        <w:spacing w:after="0" w:line="240" w:lineRule="auto"/>
        <w:ind w:left="1440"/>
        <w:outlineLvl w:val="4"/>
        <w:rPr>
          <w:rFonts w:cs="Calibri"/>
          <w:bCs/>
        </w:rPr>
      </w:pPr>
    </w:p>
    <w:p w:rsidR="00ED1026" w:rsidRPr="00934BFC" w:rsidRDefault="00ED1026" w:rsidP="00ED1026">
      <w:pPr>
        <w:pStyle w:val="ListParagraph"/>
        <w:spacing w:after="0" w:line="240" w:lineRule="auto"/>
        <w:ind w:left="1440"/>
        <w:outlineLvl w:val="4"/>
        <w:rPr>
          <w:rStyle w:val="e-03"/>
          <w:rFonts w:ascii="Times New Roman" w:hAnsi="Times New Roman"/>
          <w:bCs/>
          <w:sz w:val="24"/>
          <w:szCs w:val="24"/>
        </w:rPr>
      </w:pPr>
      <w:r>
        <w:rPr>
          <w:rStyle w:val="e-03"/>
          <w:rFonts w:ascii="Times New Roman" w:hAnsi="Times New Roman"/>
          <w:bCs/>
          <w:iCs/>
          <w:sz w:val="24"/>
          <w:szCs w:val="24"/>
        </w:rPr>
        <w:t>"</w:t>
      </w:r>
      <w:r w:rsidRPr="00934BFC">
        <w:rPr>
          <w:rStyle w:val="e-03"/>
          <w:rFonts w:ascii="Times New Roman" w:hAnsi="Times New Roman"/>
          <w:bCs/>
          <w:iCs/>
          <w:sz w:val="24"/>
          <w:szCs w:val="24"/>
        </w:rPr>
        <w:t xml:space="preserve">Extension of </w:t>
      </w:r>
      <w:r w:rsidR="00431AA7">
        <w:rPr>
          <w:rStyle w:val="e-03"/>
          <w:rFonts w:ascii="Times New Roman" w:hAnsi="Times New Roman"/>
          <w:bCs/>
          <w:iCs/>
          <w:sz w:val="24"/>
          <w:szCs w:val="24"/>
        </w:rPr>
        <w:t>C</w:t>
      </w:r>
      <w:r w:rsidRPr="00934BFC">
        <w:rPr>
          <w:rStyle w:val="e-03"/>
          <w:rFonts w:ascii="Times New Roman" w:hAnsi="Times New Roman"/>
          <w:bCs/>
          <w:iCs/>
          <w:sz w:val="24"/>
          <w:szCs w:val="24"/>
        </w:rPr>
        <w:t>redit</w:t>
      </w:r>
      <w:r>
        <w:rPr>
          <w:rStyle w:val="e-03"/>
          <w:rFonts w:ascii="Times New Roman" w:hAnsi="Times New Roman"/>
          <w:bCs/>
          <w:iCs/>
          <w:sz w:val="24"/>
          <w:szCs w:val="24"/>
        </w:rPr>
        <w:t>"</w:t>
      </w:r>
      <w:r w:rsidRPr="00934BFC">
        <w:rPr>
          <w:rStyle w:val="e-03"/>
          <w:rFonts w:ascii="Times New Roman" w:hAnsi="Times New Roman"/>
          <w:bCs/>
          <w:sz w:val="24"/>
          <w:szCs w:val="24"/>
        </w:rPr>
        <w:t xml:space="preserve"> shall have the </w:t>
      </w:r>
      <w:r w:rsidR="00DE10F3">
        <w:rPr>
          <w:rStyle w:val="e-03"/>
          <w:rFonts w:ascii="Times New Roman" w:hAnsi="Times New Roman"/>
          <w:bCs/>
          <w:sz w:val="24"/>
          <w:szCs w:val="24"/>
        </w:rPr>
        <w:t>s</w:t>
      </w:r>
      <w:r w:rsidR="00B506E3">
        <w:rPr>
          <w:rStyle w:val="e-03"/>
          <w:rFonts w:ascii="Times New Roman" w:hAnsi="Times New Roman"/>
          <w:bCs/>
          <w:sz w:val="24"/>
          <w:szCs w:val="24"/>
        </w:rPr>
        <w:t>a</w:t>
      </w:r>
      <w:r w:rsidR="00DE10F3">
        <w:rPr>
          <w:rStyle w:val="e-03"/>
          <w:rFonts w:ascii="Times New Roman" w:hAnsi="Times New Roman"/>
          <w:bCs/>
          <w:sz w:val="24"/>
          <w:szCs w:val="24"/>
        </w:rPr>
        <w:t xml:space="preserve">me </w:t>
      </w:r>
      <w:r w:rsidRPr="00934BFC">
        <w:rPr>
          <w:rStyle w:val="e-03"/>
          <w:rFonts w:ascii="Times New Roman" w:hAnsi="Times New Roman"/>
          <w:bCs/>
          <w:sz w:val="24"/>
          <w:szCs w:val="24"/>
        </w:rPr>
        <w:t xml:space="preserve">meaning </w:t>
      </w:r>
      <w:r w:rsidR="00DE10F3">
        <w:rPr>
          <w:rStyle w:val="e-03"/>
          <w:rFonts w:ascii="Times New Roman" w:hAnsi="Times New Roman"/>
          <w:bCs/>
          <w:sz w:val="24"/>
          <w:szCs w:val="24"/>
        </w:rPr>
        <w:t xml:space="preserve">as </w:t>
      </w:r>
      <w:r w:rsidR="00D97C45">
        <w:rPr>
          <w:rStyle w:val="e-03"/>
          <w:rFonts w:ascii="Times New Roman" w:hAnsi="Times New Roman"/>
          <w:bCs/>
          <w:sz w:val="24"/>
          <w:szCs w:val="24"/>
        </w:rPr>
        <w:t xml:space="preserve">ascribed to </w:t>
      </w:r>
      <w:r w:rsidR="00DE10F3">
        <w:rPr>
          <w:rStyle w:val="e-03"/>
          <w:rFonts w:ascii="Times New Roman" w:hAnsi="Times New Roman"/>
          <w:bCs/>
          <w:sz w:val="24"/>
          <w:szCs w:val="24"/>
        </w:rPr>
        <w:t xml:space="preserve">Letter of Credit </w:t>
      </w:r>
      <w:r w:rsidRPr="00934BFC">
        <w:rPr>
          <w:rStyle w:val="e-03"/>
          <w:rFonts w:ascii="Times New Roman" w:hAnsi="Times New Roman"/>
          <w:bCs/>
          <w:sz w:val="24"/>
          <w:szCs w:val="24"/>
        </w:rPr>
        <w:t>in Section 5-102 of Uniform Commercial Code [810 ILCS 5/5-102] and any credit exposure, as determined pursuant to Section 330.230, arising from a derivative transaction.</w:t>
      </w:r>
    </w:p>
    <w:p w:rsidR="00ED1026" w:rsidRPr="00934BFC" w:rsidRDefault="00ED1026" w:rsidP="00ED1026">
      <w:pPr>
        <w:pStyle w:val="ListParagraph"/>
        <w:tabs>
          <w:tab w:val="left" w:pos="1620"/>
        </w:tabs>
        <w:spacing w:after="0" w:line="240" w:lineRule="auto"/>
        <w:ind w:left="1440"/>
        <w:outlineLvl w:val="4"/>
        <w:rPr>
          <w:rStyle w:val="e-03"/>
          <w:rFonts w:ascii="Times New Roman" w:hAnsi="Times New Roman"/>
          <w:bCs/>
          <w:sz w:val="24"/>
          <w:szCs w:val="24"/>
        </w:rPr>
      </w:pPr>
    </w:p>
    <w:p w:rsidR="00ED1026" w:rsidRPr="00934BFC" w:rsidRDefault="00ED1026" w:rsidP="00ED1026">
      <w:pPr>
        <w:pStyle w:val="ListParagraph"/>
        <w:tabs>
          <w:tab w:val="left" w:pos="1620"/>
        </w:tabs>
        <w:spacing w:after="0" w:line="240" w:lineRule="auto"/>
        <w:ind w:left="2160"/>
        <w:outlineLvl w:val="4"/>
        <w:rPr>
          <w:rStyle w:val="e-03"/>
          <w:rFonts w:ascii="Times New Roman" w:hAnsi="Times New Roman"/>
          <w:bCs/>
          <w:color w:val="FF0000"/>
          <w:sz w:val="24"/>
          <w:szCs w:val="24"/>
        </w:rPr>
      </w:pPr>
      <w:r w:rsidRPr="00934BFC">
        <w:rPr>
          <w:rStyle w:val="e-03"/>
          <w:rFonts w:ascii="Times New Roman" w:hAnsi="Times New Roman"/>
          <w:bCs/>
          <w:sz w:val="24"/>
          <w:szCs w:val="24"/>
        </w:rPr>
        <w:t>Loans or extensions of credit, for purposes of this Part, include a contractual commitment to advance funds</w:t>
      </w:r>
      <w:r w:rsidR="00431AA7">
        <w:rPr>
          <w:rStyle w:val="e-03"/>
          <w:rFonts w:ascii="Times New Roman" w:hAnsi="Times New Roman"/>
          <w:bCs/>
          <w:sz w:val="24"/>
          <w:szCs w:val="24"/>
        </w:rPr>
        <w:t>.</w:t>
      </w:r>
      <w:r w:rsidRPr="00934BFC">
        <w:rPr>
          <w:rStyle w:val="e-03"/>
          <w:rFonts w:ascii="Times New Roman" w:hAnsi="Times New Roman"/>
          <w:bCs/>
          <w:color w:val="FF0000"/>
          <w:sz w:val="24"/>
          <w:szCs w:val="24"/>
        </w:rPr>
        <w:t xml:space="preserve"> </w:t>
      </w:r>
    </w:p>
    <w:p w:rsidR="00ED1026" w:rsidRPr="00934BFC" w:rsidRDefault="00ED1026" w:rsidP="00ED1026">
      <w:pPr>
        <w:pStyle w:val="ListParagraph"/>
        <w:autoSpaceDE w:val="0"/>
        <w:autoSpaceDN w:val="0"/>
        <w:adjustRightInd w:val="0"/>
        <w:spacing w:after="0" w:line="240" w:lineRule="auto"/>
        <w:ind w:left="1440"/>
        <w:outlineLvl w:val="4"/>
        <w:rPr>
          <w:rFonts w:ascii="Times New Roman" w:hAnsi="Times New Roman"/>
          <w:sz w:val="24"/>
          <w:szCs w:val="24"/>
        </w:rPr>
      </w:pPr>
    </w:p>
    <w:p w:rsidR="00ED1026" w:rsidRPr="00934BFC" w:rsidRDefault="00ED1026" w:rsidP="00ED1026">
      <w:pPr>
        <w:pStyle w:val="ListParagraph"/>
        <w:autoSpaceDE w:val="0"/>
        <w:autoSpaceDN w:val="0"/>
        <w:adjustRightInd w:val="0"/>
        <w:spacing w:after="0" w:line="240" w:lineRule="auto"/>
        <w:ind w:left="2160"/>
        <w:outlineLvl w:val="4"/>
        <w:rPr>
          <w:rFonts w:ascii="Times New Roman" w:hAnsi="Times New Roman"/>
          <w:sz w:val="24"/>
          <w:szCs w:val="24"/>
        </w:rPr>
      </w:pPr>
      <w:r w:rsidRPr="00934BFC">
        <w:rPr>
          <w:rFonts w:ascii="Times New Roman" w:hAnsi="Times New Roman"/>
          <w:sz w:val="24"/>
          <w:szCs w:val="24"/>
        </w:rPr>
        <w:t>The following items do not constitute loans or extensions of credit for purposes of Section 32 of the Act, Section 6013 of the Savings Bank Act, or</w:t>
      </w:r>
      <w:r w:rsidRPr="00934BFC">
        <w:rPr>
          <w:rFonts w:ascii="Times New Roman" w:hAnsi="Times New Roman"/>
          <w:b/>
          <w:sz w:val="24"/>
          <w:szCs w:val="24"/>
        </w:rPr>
        <w:t xml:space="preserve"> </w:t>
      </w:r>
      <w:r w:rsidRPr="00934BFC">
        <w:rPr>
          <w:rFonts w:ascii="Times New Roman" w:hAnsi="Times New Roman"/>
          <w:sz w:val="24"/>
          <w:szCs w:val="24"/>
        </w:rPr>
        <w:t>this Part:</w:t>
      </w:r>
    </w:p>
    <w:p w:rsidR="00ED1026" w:rsidRPr="00934BFC" w:rsidRDefault="00ED1026" w:rsidP="00ED1026">
      <w:pPr>
        <w:pStyle w:val="ListParagraph"/>
        <w:autoSpaceDE w:val="0"/>
        <w:autoSpaceDN w:val="0"/>
        <w:adjustRightInd w:val="0"/>
        <w:spacing w:after="0" w:line="240" w:lineRule="auto"/>
        <w:ind w:left="2160"/>
        <w:outlineLvl w:val="4"/>
        <w:rPr>
          <w:rFonts w:ascii="Times New Roman" w:hAnsi="Times New Roman"/>
          <w:sz w:val="24"/>
          <w:szCs w:val="24"/>
        </w:rPr>
      </w:pPr>
    </w:p>
    <w:p w:rsidR="00ED1026" w:rsidRPr="00934BFC" w:rsidRDefault="00ED1026" w:rsidP="00ED1026">
      <w:pPr>
        <w:pStyle w:val="ListParagraph"/>
        <w:autoSpaceDE w:val="0"/>
        <w:autoSpaceDN w:val="0"/>
        <w:adjustRightInd w:val="0"/>
        <w:spacing w:after="0" w:line="240" w:lineRule="auto"/>
        <w:ind w:left="2880"/>
        <w:outlineLvl w:val="4"/>
        <w:rPr>
          <w:rFonts w:ascii="Times New Roman" w:hAnsi="Times New Roman"/>
          <w:sz w:val="24"/>
          <w:szCs w:val="24"/>
        </w:rPr>
      </w:pPr>
      <w:r w:rsidRPr="00934BFC">
        <w:rPr>
          <w:rFonts w:ascii="Times New Roman" w:hAnsi="Times New Roman"/>
          <w:sz w:val="24"/>
          <w:szCs w:val="24"/>
        </w:rPr>
        <w:t xml:space="preserve">Additional funds advanced for the benefit of a borrower by a bank for payment of taxes, insurance, utilities, security and maintenance </w:t>
      </w:r>
      <w:r w:rsidRPr="00934BFC">
        <w:rPr>
          <w:rFonts w:ascii="Times New Roman" w:hAnsi="Times New Roman"/>
          <w:sz w:val="24"/>
          <w:szCs w:val="24"/>
        </w:rPr>
        <w:lastRenderedPageBreak/>
        <w:t>and operating expenses necessary to preserve the value of real property securing the loan, consistent with safe and sound banking practices, but only if the advance is for the protection of the bank</w:t>
      </w:r>
      <w:r w:rsidR="00431AA7">
        <w:rPr>
          <w:rFonts w:ascii="Times New Roman" w:hAnsi="Times New Roman"/>
          <w:sz w:val="24"/>
          <w:szCs w:val="24"/>
        </w:rPr>
        <w:t>'</w:t>
      </w:r>
      <w:r w:rsidRPr="00934BFC">
        <w:rPr>
          <w:rFonts w:ascii="Times New Roman" w:hAnsi="Times New Roman"/>
          <w:sz w:val="24"/>
          <w:szCs w:val="24"/>
        </w:rPr>
        <w:t xml:space="preserve">s interest in the collateral, and provided that </w:t>
      </w:r>
      <w:r w:rsidR="00431AA7">
        <w:rPr>
          <w:rFonts w:ascii="Times New Roman" w:hAnsi="Times New Roman"/>
          <w:sz w:val="24"/>
          <w:szCs w:val="24"/>
        </w:rPr>
        <w:t>the</w:t>
      </w:r>
      <w:r w:rsidRPr="00934BFC">
        <w:rPr>
          <w:rFonts w:ascii="Times New Roman" w:hAnsi="Times New Roman"/>
          <w:sz w:val="24"/>
          <w:szCs w:val="24"/>
        </w:rPr>
        <w:t xml:space="preserve"> amounts must be treated as an extension of credit if a new loan or extension of credit is made to the borrower;</w:t>
      </w:r>
    </w:p>
    <w:p w:rsidR="00ED1026" w:rsidRPr="00934BFC" w:rsidRDefault="00ED1026" w:rsidP="00ED1026">
      <w:pPr>
        <w:pStyle w:val="ListParagraph"/>
        <w:autoSpaceDE w:val="0"/>
        <w:autoSpaceDN w:val="0"/>
        <w:adjustRightInd w:val="0"/>
        <w:spacing w:after="0" w:line="240" w:lineRule="auto"/>
        <w:ind w:left="1440"/>
        <w:outlineLvl w:val="4"/>
        <w:rPr>
          <w:rFonts w:ascii="Times New Roman" w:hAnsi="Times New Roman"/>
          <w:sz w:val="24"/>
          <w:szCs w:val="24"/>
        </w:rPr>
      </w:pPr>
    </w:p>
    <w:p w:rsidR="00ED1026" w:rsidRPr="00934BFC" w:rsidRDefault="00ED1026" w:rsidP="00ED1026">
      <w:pPr>
        <w:pStyle w:val="ListParagraph"/>
        <w:autoSpaceDE w:val="0"/>
        <w:autoSpaceDN w:val="0"/>
        <w:adjustRightInd w:val="0"/>
        <w:spacing w:after="0" w:line="240" w:lineRule="auto"/>
        <w:ind w:left="2880"/>
        <w:outlineLvl w:val="4"/>
        <w:rPr>
          <w:rFonts w:ascii="Times New Roman" w:hAnsi="Times New Roman"/>
          <w:sz w:val="24"/>
          <w:szCs w:val="24"/>
        </w:rPr>
      </w:pPr>
      <w:r w:rsidRPr="00934BFC">
        <w:rPr>
          <w:rFonts w:ascii="Times New Roman" w:hAnsi="Times New Roman"/>
          <w:sz w:val="24"/>
          <w:szCs w:val="24"/>
        </w:rPr>
        <w:t>Accrued and discounted interest on an existing loan or extension of credit, including interest that has been capitalized from prior notes and interest that has been advanced under terms and conditions of a loan agreement;</w:t>
      </w:r>
    </w:p>
    <w:p w:rsidR="00ED1026" w:rsidRPr="00934BFC" w:rsidRDefault="00ED1026" w:rsidP="00ED1026">
      <w:pPr>
        <w:pStyle w:val="ListParagraph"/>
        <w:autoSpaceDE w:val="0"/>
        <w:autoSpaceDN w:val="0"/>
        <w:adjustRightInd w:val="0"/>
        <w:spacing w:after="0" w:line="240" w:lineRule="auto"/>
        <w:ind w:left="1440"/>
        <w:outlineLvl w:val="4"/>
        <w:rPr>
          <w:rFonts w:ascii="Times New Roman" w:hAnsi="Times New Roman"/>
          <w:sz w:val="24"/>
          <w:szCs w:val="24"/>
        </w:rPr>
      </w:pPr>
    </w:p>
    <w:p w:rsidR="00ED1026" w:rsidRPr="00934BFC" w:rsidRDefault="00ED1026" w:rsidP="00ED1026">
      <w:pPr>
        <w:pStyle w:val="ListParagraph"/>
        <w:autoSpaceDE w:val="0"/>
        <w:autoSpaceDN w:val="0"/>
        <w:adjustRightInd w:val="0"/>
        <w:spacing w:after="0" w:line="240" w:lineRule="auto"/>
        <w:ind w:left="2880"/>
        <w:outlineLvl w:val="4"/>
        <w:rPr>
          <w:rFonts w:ascii="Times New Roman" w:hAnsi="Times New Roman"/>
          <w:sz w:val="24"/>
          <w:szCs w:val="24"/>
        </w:rPr>
      </w:pPr>
      <w:r w:rsidRPr="00934BFC">
        <w:rPr>
          <w:rFonts w:ascii="Times New Roman" w:hAnsi="Times New Roman"/>
          <w:sz w:val="24"/>
          <w:szCs w:val="24"/>
        </w:rPr>
        <w:t>Financed sales of a bank</w:t>
      </w:r>
      <w:r w:rsidR="00431AA7">
        <w:rPr>
          <w:rFonts w:ascii="Times New Roman" w:hAnsi="Times New Roman"/>
          <w:sz w:val="24"/>
          <w:szCs w:val="24"/>
        </w:rPr>
        <w:t>'</w:t>
      </w:r>
      <w:r w:rsidRPr="00934BFC">
        <w:rPr>
          <w:rFonts w:ascii="Times New Roman" w:hAnsi="Times New Roman"/>
          <w:sz w:val="24"/>
          <w:szCs w:val="24"/>
        </w:rPr>
        <w:t>s own assets, including other real estate owned, if the financing does not put the bank in a worse position than when the bank held title to the assets;</w:t>
      </w:r>
    </w:p>
    <w:p w:rsidR="00ED1026" w:rsidRPr="00934BFC" w:rsidRDefault="00ED1026" w:rsidP="00ED1026">
      <w:pPr>
        <w:pStyle w:val="ListParagraph"/>
        <w:autoSpaceDE w:val="0"/>
        <w:autoSpaceDN w:val="0"/>
        <w:adjustRightInd w:val="0"/>
        <w:spacing w:after="0" w:line="240" w:lineRule="auto"/>
        <w:ind w:left="1800"/>
        <w:outlineLvl w:val="4"/>
        <w:rPr>
          <w:rFonts w:ascii="Times New Roman" w:hAnsi="Times New Roman"/>
          <w:sz w:val="24"/>
          <w:szCs w:val="24"/>
        </w:rPr>
      </w:pPr>
    </w:p>
    <w:p w:rsidR="00ED1026" w:rsidRPr="00934BFC" w:rsidRDefault="00ED1026" w:rsidP="00ED1026">
      <w:pPr>
        <w:pStyle w:val="ListParagraph"/>
        <w:autoSpaceDE w:val="0"/>
        <w:autoSpaceDN w:val="0"/>
        <w:adjustRightInd w:val="0"/>
        <w:spacing w:after="0" w:line="240" w:lineRule="auto"/>
        <w:ind w:left="2880"/>
        <w:outlineLvl w:val="4"/>
        <w:rPr>
          <w:rFonts w:ascii="Times New Roman" w:hAnsi="Times New Roman"/>
          <w:sz w:val="24"/>
          <w:szCs w:val="24"/>
        </w:rPr>
      </w:pPr>
      <w:r w:rsidRPr="00934BFC">
        <w:rPr>
          <w:rFonts w:ascii="Times New Roman" w:hAnsi="Times New Roman"/>
          <w:sz w:val="24"/>
          <w:szCs w:val="24"/>
        </w:rPr>
        <w:t xml:space="preserve">Amounts paid against uncollected funds in the normal process of collection; and </w:t>
      </w:r>
    </w:p>
    <w:p w:rsidR="00ED1026" w:rsidRPr="00934BFC" w:rsidRDefault="00ED1026" w:rsidP="00ED1026">
      <w:pPr>
        <w:pStyle w:val="ListParagraph"/>
        <w:autoSpaceDE w:val="0"/>
        <w:autoSpaceDN w:val="0"/>
        <w:adjustRightInd w:val="0"/>
        <w:spacing w:after="0" w:line="240" w:lineRule="auto"/>
        <w:ind w:left="2160"/>
        <w:outlineLvl w:val="4"/>
        <w:rPr>
          <w:rFonts w:ascii="Times New Roman" w:hAnsi="Times New Roman"/>
          <w:sz w:val="24"/>
          <w:szCs w:val="24"/>
        </w:rPr>
      </w:pPr>
    </w:p>
    <w:p w:rsidR="00ED1026" w:rsidRPr="00431AA7" w:rsidRDefault="00ED1026" w:rsidP="007D44CE">
      <w:pPr>
        <w:ind w:left="2880"/>
        <w:outlineLvl w:val="4"/>
        <w:rPr>
          <w:sz w:val="24"/>
          <w:szCs w:val="24"/>
        </w:rPr>
      </w:pPr>
      <w:r w:rsidRPr="00431AA7">
        <w:rPr>
          <w:sz w:val="24"/>
          <w:szCs w:val="24"/>
        </w:rPr>
        <w:t>That portion of a loan or extension of credit sold as a participation by a bank on a nonrecourse basis, provided that the participation results in a pro rata sharing of credit risk proportionate to the respective interests of the originating and participating lenders. Whe</w:t>
      </w:r>
      <w:r w:rsidR="00431AA7">
        <w:rPr>
          <w:sz w:val="24"/>
          <w:szCs w:val="24"/>
        </w:rPr>
        <w:t>n</w:t>
      </w:r>
      <w:r w:rsidRPr="00431AA7">
        <w:rPr>
          <w:sz w:val="24"/>
          <w:szCs w:val="24"/>
        </w:rPr>
        <w:t xml:space="preserve"> a participation agreement provides that repayment must be applied first to the portions sold, a pro rata sharing will be deemed to exist only if the agreement also provides that, in the event of a default or comparable event defined in the agreement, participants must share in all subsequent repayments and collections in proportion to their percentage participation at the time of the occurrence of the event.</w:t>
      </w:r>
    </w:p>
    <w:p w:rsidR="00ED1026" w:rsidRPr="00934BFC" w:rsidRDefault="00ED1026" w:rsidP="007D44CE">
      <w:pPr>
        <w:pStyle w:val="ListParagraph"/>
        <w:autoSpaceDE w:val="0"/>
        <w:autoSpaceDN w:val="0"/>
        <w:adjustRightInd w:val="0"/>
        <w:spacing w:after="0" w:line="240" w:lineRule="auto"/>
        <w:ind w:left="2880"/>
        <w:outlineLvl w:val="4"/>
        <w:rPr>
          <w:rFonts w:ascii="Times New Roman" w:hAnsi="Times New Roman"/>
          <w:sz w:val="24"/>
          <w:szCs w:val="24"/>
        </w:rPr>
      </w:pPr>
    </w:p>
    <w:p w:rsidR="00ED1026" w:rsidRPr="00934BFC" w:rsidRDefault="00ED1026" w:rsidP="007D44CE">
      <w:pPr>
        <w:pStyle w:val="ListParagraph"/>
        <w:autoSpaceDE w:val="0"/>
        <w:autoSpaceDN w:val="0"/>
        <w:adjustRightInd w:val="0"/>
        <w:spacing w:after="0" w:line="240" w:lineRule="auto"/>
        <w:ind w:left="2160"/>
        <w:outlineLvl w:val="4"/>
        <w:rPr>
          <w:rFonts w:ascii="Times New Roman" w:hAnsi="Times New Roman"/>
          <w:sz w:val="24"/>
          <w:szCs w:val="24"/>
        </w:rPr>
      </w:pPr>
      <w:r w:rsidRPr="00934BFC">
        <w:rPr>
          <w:rFonts w:ascii="Times New Roman" w:hAnsi="Times New Roman"/>
          <w:sz w:val="24"/>
          <w:szCs w:val="24"/>
        </w:rPr>
        <w:t>When an originating</w:t>
      </w:r>
      <w:r w:rsidRPr="00934BFC">
        <w:rPr>
          <w:rFonts w:ascii="Times New Roman" w:hAnsi="Times New Roman"/>
          <w:bCs/>
          <w:color w:val="FF0000"/>
          <w:sz w:val="24"/>
        </w:rPr>
        <w:t xml:space="preserve"> </w:t>
      </w:r>
      <w:r w:rsidRPr="00934BFC">
        <w:rPr>
          <w:rFonts w:ascii="Times New Roman" w:hAnsi="Times New Roman"/>
          <w:sz w:val="24"/>
          <w:szCs w:val="24"/>
        </w:rPr>
        <w:t>bank funds the entire loan, it must receive funding from the participants before the close of business of its next business day. If the participating portions are not received within that period, then the portions funded will be treated as a loan by the originating bank to the borrower. If the portions so attributed to the borrower exceed the originating bank</w:t>
      </w:r>
      <w:r w:rsidR="00431AA7">
        <w:rPr>
          <w:rFonts w:ascii="Times New Roman" w:hAnsi="Times New Roman"/>
          <w:sz w:val="24"/>
          <w:szCs w:val="24"/>
        </w:rPr>
        <w:t>'</w:t>
      </w:r>
      <w:r w:rsidRPr="00934BFC">
        <w:rPr>
          <w:rFonts w:ascii="Times New Roman" w:hAnsi="Times New Roman"/>
          <w:sz w:val="24"/>
          <w:szCs w:val="24"/>
        </w:rPr>
        <w:t xml:space="preserve">s lending limit, the loan may be treated as nonconforming, rather than a violation of Section 32 of the Act or Section 6013 of the Savings Bank Act, as applicable, if: </w:t>
      </w:r>
    </w:p>
    <w:p w:rsidR="00ED1026" w:rsidRPr="00934BFC" w:rsidRDefault="00ED1026" w:rsidP="00ED1026">
      <w:pPr>
        <w:pStyle w:val="ListParagraph"/>
        <w:autoSpaceDE w:val="0"/>
        <w:autoSpaceDN w:val="0"/>
        <w:adjustRightInd w:val="0"/>
        <w:spacing w:after="0" w:line="240" w:lineRule="auto"/>
        <w:ind w:left="2520"/>
        <w:outlineLvl w:val="4"/>
        <w:rPr>
          <w:rFonts w:ascii="Times New Roman" w:hAnsi="Times New Roman"/>
          <w:sz w:val="24"/>
          <w:szCs w:val="24"/>
        </w:rPr>
      </w:pPr>
    </w:p>
    <w:p w:rsidR="00ED1026" w:rsidRPr="00431AA7" w:rsidRDefault="00ED1026" w:rsidP="007D44CE">
      <w:pPr>
        <w:ind w:left="2880"/>
        <w:outlineLvl w:val="4"/>
        <w:rPr>
          <w:sz w:val="24"/>
          <w:szCs w:val="24"/>
        </w:rPr>
      </w:pPr>
      <w:r w:rsidRPr="00431AA7">
        <w:rPr>
          <w:sz w:val="24"/>
          <w:szCs w:val="24"/>
        </w:rPr>
        <w:t>The originating bank had a valid and unconditional participation agreement with a participant or participants that was sufficient to reduce the loan to within the originating bank</w:t>
      </w:r>
      <w:r w:rsidR="00431AA7">
        <w:rPr>
          <w:sz w:val="24"/>
          <w:szCs w:val="24"/>
        </w:rPr>
        <w:t>'</w:t>
      </w:r>
      <w:r w:rsidRPr="00431AA7">
        <w:rPr>
          <w:sz w:val="24"/>
          <w:szCs w:val="24"/>
        </w:rPr>
        <w:t>s lending limit;</w:t>
      </w:r>
    </w:p>
    <w:p w:rsidR="00ED1026" w:rsidRPr="00934BFC" w:rsidRDefault="00ED1026" w:rsidP="007D44CE">
      <w:pPr>
        <w:pStyle w:val="ListParagraph"/>
        <w:autoSpaceDE w:val="0"/>
        <w:autoSpaceDN w:val="0"/>
        <w:adjustRightInd w:val="0"/>
        <w:spacing w:after="0" w:line="240" w:lineRule="auto"/>
        <w:ind w:left="2160"/>
        <w:outlineLvl w:val="4"/>
        <w:rPr>
          <w:rFonts w:ascii="Times New Roman" w:hAnsi="Times New Roman"/>
          <w:sz w:val="24"/>
          <w:szCs w:val="24"/>
        </w:rPr>
      </w:pPr>
    </w:p>
    <w:p w:rsidR="00ED1026" w:rsidRPr="00431AA7" w:rsidRDefault="00ED1026" w:rsidP="007D44CE">
      <w:pPr>
        <w:ind w:left="2880"/>
        <w:outlineLvl w:val="4"/>
        <w:rPr>
          <w:sz w:val="24"/>
          <w:szCs w:val="24"/>
        </w:rPr>
      </w:pPr>
      <w:r w:rsidRPr="00431AA7">
        <w:rPr>
          <w:sz w:val="24"/>
          <w:szCs w:val="24"/>
        </w:rPr>
        <w:lastRenderedPageBreak/>
        <w:t>The participant reconfirmed its participation and the originating bank had no knowledge of any information that would permit the participant to withhold its participation; and</w:t>
      </w:r>
    </w:p>
    <w:p w:rsidR="00ED1026" w:rsidRPr="007D44CE" w:rsidRDefault="00ED1026" w:rsidP="007D44CE">
      <w:pPr>
        <w:rPr>
          <w:sz w:val="24"/>
          <w:szCs w:val="24"/>
        </w:rPr>
      </w:pPr>
    </w:p>
    <w:p w:rsidR="00ED1026" w:rsidRPr="007D44CE" w:rsidRDefault="00ED1026" w:rsidP="007D44CE">
      <w:pPr>
        <w:ind w:left="2880"/>
        <w:rPr>
          <w:sz w:val="24"/>
          <w:szCs w:val="24"/>
        </w:rPr>
      </w:pPr>
      <w:r w:rsidRPr="007D44CE">
        <w:rPr>
          <w:sz w:val="24"/>
          <w:szCs w:val="24"/>
        </w:rPr>
        <w:t>The participation was to be funded by close of business of the originating bank</w:t>
      </w:r>
      <w:r w:rsidR="00431AA7" w:rsidRPr="007D44CE">
        <w:rPr>
          <w:sz w:val="24"/>
          <w:szCs w:val="24"/>
        </w:rPr>
        <w:t>'</w:t>
      </w:r>
      <w:r w:rsidRPr="007D44CE">
        <w:rPr>
          <w:sz w:val="24"/>
          <w:szCs w:val="24"/>
        </w:rPr>
        <w:t>s next business day.</w:t>
      </w:r>
    </w:p>
    <w:p w:rsidR="00431AA7" w:rsidRPr="007D44CE" w:rsidRDefault="00431AA7" w:rsidP="007D44CE">
      <w:pPr>
        <w:rPr>
          <w:sz w:val="24"/>
          <w:szCs w:val="24"/>
        </w:rPr>
      </w:pPr>
    </w:p>
    <w:p w:rsidR="00431AA7" w:rsidRPr="007D44CE" w:rsidRDefault="00431AA7" w:rsidP="007D44CE">
      <w:pPr>
        <w:ind w:left="1440"/>
        <w:rPr>
          <w:sz w:val="24"/>
          <w:szCs w:val="24"/>
        </w:rPr>
      </w:pPr>
      <w:r w:rsidRPr="007D44CE">
        <w:rPr>
          <w:sz w:val="24"/>
          <w:szCs w:val="24"/>
        </w:rPr>
        <w:t xml:space="preserve">"Notice" means a copy of the state bank's application to its appropriate federal banking agency for approval to establish a branch. </w:t>
      </w:r>
    </w:p>
    <w:p w:rsidR="00ED1026" w:rsidRPr="007D44CE" w:rsidRDefault="00ED1026" w:rsidP="007D44CE">
      <w:pPr>
        <w:rPr>
          <w:sz w:val="24"/>
          <w:szCs w:val="24"/>
        </w:rPr>
      </w:pPr>
    </w:p>
    <w:p w:rsidR="00ED1026" w:rsidRPr="00934BFC" w:rsidRDefault="00ED1026" w:rsidP="00ED1026">
      <w:pPr>
        <w:pStyle w:val="ListParagraph"/>
        <w:autoSpaceDE w:val="0"/>
        <w:autoSpaceDN w:val="0"/>
        <w:adjustRightInd w:val="0"/>
        <w:spacing w:after="0" w:line="240" w:lineRule="auto"/>
        <w:ind w:left="1440"/>
        <w:outlineLvl w:val="4"/>
        <w:rPr>
          <w:rStyle w:val="p"/>
          <w:rFonts w:ascii="Times New Roman" w:hAnsi="Times New Roman"/>
          <w:bCs/>
          <w:sz w:val="24"/>
          <w:szCs w:val="24"/>
        </w:rPr>
      </w:pPr>
      <w:r>
        <w:rPr>
          <w:rStyle w:val="e-03"/>
          <w:rFonts w:ascii="Times New Roman" w:hAnsi="Times New Roman"/>
          <w:color w:val="000000"/>
          <w:sz w:val="24"/>
          <w:szCs w:val="24"/>
        </w:rPr>
        <w:t>"</w:t>
      </w:r>
      <w:r w:rsidRPr="00934BFC">
        <w:rPr>
          <w:rStyle w:val="e-03"/>
          <w:rFonts w:ascii="Times New Roman" w:hAnsi="Times New Roman"/>
          <w:color w:val="000000"/>
          <w:sz w:val="24"/>
          <w:szCs w:val="24"/>
        </w:rPr>
        <w:t xml:space="preserve">Qualifying </w:t>
      </w:r>
      <w:r w:rsidR="00431AA7">
        <w:rPr>
          <w:rStyle w:val="e-03"/>
          <w:rFonts w:ascii="Times New Roman" w:hAnsi="Times New Roman"/>
          <w:color w:val="000000"/>
          <w:sz w:val="24"/>
          <w:szCs w:val="24"/>
        </w:rPr>
        <w:t>M</w:t>
      </w:r>
      <w:r w:rsidRPr="00934BFC">
        <w:rPr>
          <w:rStyle w:val="e-03"/>
          <w:rFonts w:ascii="Times New Roman" w:hAnsi="Times New Roman"/>
          <w:color w:val="000000"/>
          <w:sz w:val="24"/>
          <w:szCs w:val="24"/>
        </w:rPr>
        <w:t xml:space="preserve">aster </w:t>
      </w:r>
      <w:r w:rsidR="00431AA7">
        <w:rPr>
          <w:rStyle w:val="e-03"/>
          <w:rFonts w:ascii="Times New Roman" w:hAnsi="Times New Roman"/>
          <w:color w:val="000000"/>
          <w:sz w:val="24"/>
          <w:szCs w:val="24"/>
        </w:rPr>
        <w:t>N</w:t>
      </w:r>
      <w:r w:rsidRPr="00934BFC">
        <w:rPr>
          <w:rStyle w:val="e-03"/>
          <w:rFonts w:ascii="Times New Roman" w:hAnsi="Times New Roman"/>
          <w:color w:val="000000"/>
          <w:sz w:val="24"/>
          <w:szCs w:val="24"/>
        </w:rPr>
        <w:t xml:space="preserve">etting </w:t>
      </w:r>
      <w:r w:rsidR="00431AA7">
        <w:rPr>
          <w:rStyle w:val="e-03"/>
          <w:rFonts w:ascii="Times New Roman" w:hAnsi="Times New Roman"/>
          <w:color w:val="000000"/>
          <w:sz w:val="24"/>
          <w:szCs w:val="24"/>
        </w:rPr>
        <w:t>A</w:t>
      </w:r>
      <w:r w:rsidRPr="00934BFC">
        <w:rPr>
          <w:rStyle w:val="e-03"/>
          <w:rFonts w:ascii="Times New Roman" w:hAnsi="Times New Roman"/>
          <w:color w:val="000000"/>
          <w:sz w:val="24"/>
          <w:szCs w:val="24"/>
        </w:rPr>
        <w:t>greement</w:t>
      </w:r>
      <w:r>
        <w:rPr>
          <w:rStyle w:val="e-03"/>
          <w:rFonts w:ascii="Times New Roman" w:hAnsi="Times New Roman"/>
          <w:color w:val="000000"/>
          <w:sz w:val="24"/>
          <w:szCs w:val="24"/>
        </w:rPr>
        <w:t>"</w:t>
      </w:r>
      <w:r w:rsidRPr="00934BFC">
        <w:rPr>
          <w:rStyle w:val="apple-converted-space"/>
          <w:rFonts w:ascii="Times New Roman" w:hAnsi="Times New Roman"/>
          <w:color w:val="000000"/>
          <w:sz w:val="24"/>
          <w:szCs w:val="24"/>
        </w:rPr>
        <w:t> </w:t>
      </w:r>
      <w:r w:rsidRPr="00934BFC">
        <w:rPr>
          <w:rStyle w:val="p"/>
          <w:rFonts w:ascii="Times New Roman" w:hAnsi="Times New Roman"/>
          <w:color w:val="000000"/>
          <w:sz w:val="24"/>
          <w:szCs w:val="24"/>
        </w:rPr>
        <w:t>means any written, legally enforceable</w:t>
      </w:r>
      <w:r w:rsidR="00431AA7">
        <w:rPr>
          <w:rStyle w:val="p"/>
          <w:rFonts w:ascii="Times New Roman" w:hAnsi="Times New Roman"/>
          <w:color w:val="000000"/>
          <w:sz w:val="24"/>
          <w:szCs w:val="24"/>
        </w:rPr>
        <w:t>,</w:t>
      </w:r>
      <w:r w:rsidRPr="00934BFC">
        <w:rPr>
          <w:rStyle w:val="p"/>
          <w:rFonts w:ascii="Times New Roman" w:hAnsi="Times New Roman"/>
          <w:color w:val="000000"/>
          <w:sz w:val="24"/>
          <w:szCs w:val="24"/>
        </w:rPr>
        <w:t xml:space="preserve"> bilateral agreement, provided that:</w:t>
      </w:r>
    </w:p>
    <w:p w:rsidR="00ED1026" w:rsidRPr="00934BFC" w:rsidRDefault="00ED1026" w:rsidP="00ED1026">
      <w:pPr>
        <w:pStyle w:val="ListParagraph"/>
        <w:spacing w:after="0" w:line="240" w:lineRule="auto"/>
        <w:ind w:left="1080"/>
        <w:outlineLvl w:val="4"/>
        <w:rPr>
          <w:rStyle w:val="p"/>
          <w:rFonts w:ascii="Times New Roman" w:hAnsi="Times New Roman"/>
          <w:color w:val="000000"/>
          <w:sz w:val="24"/>
          <w:szCs w:val="24"/>
        </w:rPr>
      </w:pPr>
    </w:p>
    <w:p w:rsidR="00ED1026" w:rsidRPr="00934BFC" w:rsidRDefault="00ED1026" w:rsidP="00ED1026">
      <w:pPr>
        <w:pStyle w:val="ListParagraph"/>
        <w:spacing w:after="0" w:line="240" w:lineRule="auto"/>
        <w:ind w:left="2160"/>
        <w:outlineLvl w:val="4"/>
        <w:rPr>
          <w:rStyle w:val="p"/>
          <w:rFonts w:ascii="Times New Roman" w:hAnsi="Times New Roman"/>
          <w:bCs/>
          <w:sz w:val="24"/>
          <w:szCs w:val="24"/>
        </w:rPr>
      </w:pPr>
      <w:r w:rsidRPr="00934BFC">
        <w:rPr>
          <w:rStyle w:val="p"/>
          <w:rFonts w:ascii="Times New Roman" w:hAnsi="Times New Roman"/>
          <w:color w:val="000000"/>
          <w:sz w:val="24"/>
          <w:szCs w:val="24"/>
        </w:rPr>
        <w:t>The agreement creates a single legal obligation for all individual transactions covered by the agreement upon an event of default, including bankruptcy, insolvency or similar proceeding, of the counterparty;</w:t>
      </w:r>
    </w:p>
    <w:p w:rsidR="00ED1026" w:rsidRPr="00934BFC" w:rsidRDefault="00ED1026" w:rsidP="00ED1026">
      <w:pPr>
        <w:pStyle w:val="ListParagraph"/>
        <w:spacing w:after="0" w:line="240" w:lineRule="auto"/>
        <w:ind w:left="1440"/>
        <w:outlineLvl w:val="4"/>
        <w:rPr>
          <w:rStyle w:val="p"/>
          <w:rFonts w:ascii="Times New Roman" w:hAnsi="Times New Roman"/>
          <w:color w:val="000000"/>
          <w:sz w:val="24"/>
          <w:szCs w:val="24"/>
        </w:rPr>
      </w:pPr>
    </w:p>
    <w:p w:rsidR="00ED1026" w:rsidRPr="00934BFC" w:rsidRDefault="00ED1026" w:rsidP="00ED1026">
      <w:pPr>
        <w:pStyle w:val="ListParagraph"/>
        <w:spacing w:after="0" w:line="240" w:lineRule="auto"/>
        <w:ind w:left="2160"/>
        <w:outlineLvl w:val="4"/>
        <w:rPr>
          <w:rStyle w:val="p"/>
          <w:rFonts w:ascii="Times New Roman" w:hAnsi="Times New Roman"/>
          <w:bCs/>
          <w:sz w:val="24"/>
          <w:szCs w:val="24"/>
        </w:rPr>
      </w:pPr>
      <w:r w:rsidRPr="00934BFC">
        <w:rPr>
          <w:rStyle w:val="p"/>
          <w:rFonts w:ascii="Times New Roman" w:hAnsi="Times New Roman"/>
          <w:color w:val="000000"/>
          <w:sz w:val="24"/>
          <w:szCs w:val="24"/>
        </w:rPr>
        <w:t>The agreement provides the bank the right to accelerate, terminate and close-out on a net basis all transactions under the agreement and to liquidate or set off collateral promptly upon an event of default, including upon an event of bankruptcy, insolvency or similar proceeding, of the counterparty, provided that, in any such case, any exercise of rights under the agreement will not be stayed or avoided under applicable law in the relevant jurisdictions;</w:t>
      </w:r>
    </w:p>
    <w:p w:rsidR="00ED1026" w:rsidRPr="00934BFC" w:rsidRDefault="00ED1026" w:rsidP="00ED1026">
      <w:pPr>
        <w:pStyle w:val="ListParagraph"/>
        <w:spacing w:after="0" w:line="240" w:lineRule="auto"/>
        <w:ind w:left="1440"/>
        <w:outlineLvl w:val="4"/>
        <w:rPr>
          <w:rStyle w:val="p"/>
          <w:rFonts w:ascii="Times New Roman" w:hAnsi="Times New Roman"/>
          <w:color w:val="000000"/>
          <w:sz w:val="24"/>
          <w:szCs w:val="24"/>
        </w:rPr>
      </w:pPr>
    </w:p>
    <w:p w:rsidR="00ED1026" w:rsidRPr="00934BFC" w:rsidRDefault="00ED1026" w:rsidP="00ED1026">
      <w:pPr>
        <w:pStyle w:val="ListParagraph"/>
        <w:spacing w:after="0" w:line="240" w:lineRule="auto"/>
        <w:ind w:left="2160"/>
        <w:outlineLvl w:val="4"/>
        <w:rPr>
          <w:rStyle w:val="p"/>
          <w:rFonts w:ascii="Times New Roman" w:hAnsi="Times New Roman"/>
          <w:bCs/>
          <w:sz w:val="24"/>
          <w:szCs w:val="24"/>
        </w:rPr>
      </w:pPr>
      <w:r w:rsidRPr="00934BFC">
        <w:rPr>
          <w:rStyle w:val="p"/>
          <w:rFonts w:ascii="Times New Roman" w:hAnsi="Times New Roman"/>
          <w:color w:val="000000"/>
          <w:sz w:val="24"/>
          <w:szCs w:val="24"/>
        </w:rPr>
        <w:t>The bank has conducted sufficient legal review to conclude with a well-founded basis, and maintains sufficient written documentation of that legal review, that:</w:t>
      </w:r>
    </w:p>
    <w:p w:rsidR="00ED1026" w:rsidRPr="00934BFC" w:rsidRDefault="00ED1026" w:rsidP="00ED1026">
      <w:pPr>
        <w:pStyle w:val="ListParagraph"/>
        <w:spacing w:after="0" w:line="240" w:lineRule="auto"/>
        <w:ind w:left="1440"/>
        <w:outlineLvl w:val="4"/>
        <w:rPr>
          <w:rStyle w:val="p"/>
          <w:rFonts w:ascii="Times New Roman" w:hAnsi="Times New Roman"/>
          <w:color w:val="000000"/>
          <w:sz w:val="24"/>
          <w:szCs w:val="24"/>
        </w:rPr>
      </w:pPr>
    </w:p>
    <w:p w:rsidR="00ED1026" w:rsidRPr="00934BFC" w:rsidRDefault="00ED1026" w:rsidP="00ED1026">
      <w:pPr>
        <w:pStyle w:val="ListParagraph"/>
        <w:spacing w:after="0" w:line="240" w:lineRule="auto"/>
        <w:ind w:left="2880"/>
        <w:outlineLvl w:val="4"/>
        <w:rPr>
          <w:rStyle w:val="p"/>
          <w:rFonts w:ascii="Times New Roman" w:hAnsi="Times New Roman"/>
          <w:bCs/>
          <w:sz w:val="24"/>
          <w:szCs w:val="24"/>
        </w:rPr>
      </w:pPr>
      <w:r w:rsidRPr="00934BFC">
        <w:rPr>
          <w:rStyle w:val="p"/>
          <w:rFonts w:ascii="Times New Roman" w:hAnsi="Times New Roman"/>
          <w:color w:val="000000"/>
          <w:sz w:val="24"/>
          <w:szCs w:val="24"/>
        </w:rPr>
        <w:t>The agreement meets the requirements of this definition; and</w:t>
      </w:r>
    </w:p>
    <w:p w:rsidR="00ED1026" w:rsidRPr="00934BFC" w:rsidRDefault="00ED1026" w:rsidP="00ED1026">
      <w:pPr>
        <w:pStyle w:val="ListParagraph"/>
        <w:spacing w:after="0" w:line="240" w:lineRule="auto"/>
        <w:ind w:left="1440"/>
        <w:outlineLvl w:val="4"/>
        <w:rPr>
          <w:rStyle w:val="p"/>
          <w:rFonts w:ascii="Times New Roman" w:hAnsi="Times New Roman"/>
          <w:color w:val="000000"/>
          <w:sz w:val="24"/>
          <w:szCs w:val="24"/>
        </w:rPr>
      </w:pPr>
    </w:p>
    <w:p w:rsidR="00ED1026" w:rsidRPr="00934BFC" w:rsidRDefault="00ED1026" w:rsidP="00ED1026">
      <w:pPr>
        <w:pStyle w:val="ListParagraph"/>
        <w:spacing w:after="0" w:line="240" w:lineRule="auto"/>
        <w:ind w:left="2880"/>
        <w:outlineLvl w:val="4"/>
        <w:rPr>
          <w:rStyle w:val="p"/>
          <w:rFonts w:ascii="Times New Roman" w:hAnsi="Times New Roman"/>
          <w:bCs/>
          <w:sz w:val="24"/>
          <w:szCs w:val="24"/>
        </w:rPr>
      </w:pPr>
      <w:r w:rsidRPr="00934BFC">
        <w:rPr>
          <w:rStyle w:val="p"/>
          <w:rFonts w:ascii="Times New Roman" w:hAnsi="Times New Roman"/>
          <w:color w:val="000000"/>
          <w:sz w:val="24"/>
          <w:szCs w:val="24"/>
        </w:rPr>
        <w:t>In the event of a legal challenge, including one resulting from default or from bankruptcy, insolvency or similar proceeding, the relevant court and administrative authorities would find the agreement to be legal, valid, binding and enforceable under the law of the relevant jurisdictions;</w:t>
      </w:r>
    </w:p>
    <w:p w:rsidR="00ED1026" w:rsidRPr="00934BFC" w:rsidRDefault="00ED1026" w:rsidP="00ED1026">
      <w:pPr>
        <w:pStyle w:val="ListParagraph"/>
        <w:spacing w:after="0" w:line="240" w:lineRule="auto"/>
        <w:ind w:left="1440"/>
        <w:outlineLvl w:val="4"/>
        <w:rPr>
          <w:rStyle w:val="p"/>
          <w:rFonts w:ascii="Times New Roman" w:hAnsi="Times New Roman"/>
          <w:color w:val="000000"/>
          <w:sz w:val="24"/>
          <w:szCs w:val="24"/>
        </w:rPr>
      </w:pPr>
    </w:p>
    <w:p w:rsidR="00ED1026" w:rsidRPr="00934BFC" w:rsidRDefault="00ED1026" w:rsidP="00ED1026">
      <w:pPr>
        <w:pStyle w:val="ListParagraph"/>
        <w:spacing w:after="0" w:line="240" w:lineRule="auto"/>
        <w:ind w:left="2160"/>
        <w:outlineLvl w:val="4"/>
        <w:rPr>
          <w:rStyle w:val="p"/>
          <w:rFonts w:ascii="Times New Roman" w:hAnsi="Times New Roman"/>
          <w:bCs/>
          <w:sz w:val="24"/>
          <w:szCs w:val="24"/>
        </w:rPr>
      </w:pPr>
      <w:r w:rsidRPr="00934BFC">
        <w:rPr>
          <w:rStyle w:val="p"/>
          <w:rFonts w:ascii="Times New Roman" w:hAnsi="Times New Roman"/>
          <w:color w:val="000000"/>
          <w:sz w:val="24"/>
          <w:szCs w:val="24"/>
        </w:rPr>
        <w:t>The bank establishes and maintains procedures to monitor possible changes in relevant law and to ensure that the agreement continues to satisfy the requirements of this definition; and</w:t>
      </w:r>
    </w:p>
    <w:p w:rsidR="00ED1026" w:rsidRPr="00934BFC" w:rsidRDefault="00ED1026" w:rsidP="00ED1026">
      <w:pPr>
        <w:pStyle w:val="ListParagraph"/>
        <w:spacing w:after="0" w:line="240" w:lineRule="auto"/>
        <w:ind w:left="1440"/>
        <w:outlineLvl w:val="4"/>
        <w:rPr>
          <w:rStyle w:val="p"/>
          <w:rFonts w:ascii="Times New Roman" w:hAnsi="Times New Roman"/>
          <w:color w:val="000000"/>
          <w:sz w:val="24"/>
          <w:szCs w:val="24"/>
        </w:rPr>
      </w:pPr>
    </w:p>
    <w:p w:rsidR="00ED1026" w:rsidRPr="00934BFC" w:rsidRDefault="00ED1026" w:rsidP="00ED1026">
      <w:pPr>
        <w:pStyle w:val="ListParagraph"/>
        <w:spacing w:after="0" w:line="240" w:lineRule="auto"/>
        <w:ind w:left="2160"/>
        <w:outlineLvl w:val="4"/>
        <w:rPr>
          <w:rFonts w:ascii="Times New Roman" w:hAnsi="Times New Roman"/>
          <w:bCs/>
          <w:sz w:val="24"/>
          <w:szCs w:val="24"/>
        </w:rPr>
      </w:pPr>
      <w:r w:rsidRPr="00934BFC">
        <w:rPr>
          <w:rStyle w:val="p"/>
          <w:rFonts w:ascii="Times New Roman" w:hAnsi="Times New Roman"/>
          <w:color w:val="000000"/>
          <w:sz w:val="24"/>
          <w:szCs w:val="24"/>
        </w:rPr>
        <w:t>The agreement does not contain a walk-away clause (that is, a provision that permits a non-defaulting counterparty to make a lower payment than it would make otherwise under the agreement, or no payment at all, to a defaulter or the estate of a defaulter, even if the defaulter or the estate of the defaulter is a net creditor under the agreement).</w:t>
      </w:r>
    </w:p>
    <w:p w:rsidR="00ED1026" w:rsidRPr="00934BFC" w:rsidRDefault="00ED1026" w:rsidP="00ED1026">
      <w:pPr>
        <w:ind w:left="1440"/>
        <w:rPr>
          <w:rFonts w:cs="Arial"/>
          <w:sz w:val="24"/>
        </w:rPr>
      </w:pPr>
    </w:p>
    <w:p w:rsidR="00ED1026" w:rsidRPr="00934BFC" w:rsidRDefault="00ED1026" w:rsidP="00ED1026">
      <w:pPr>
        <w:ind w:left="1440"/>
        <w:rPr>
          <w:rFonts w:cs="Arial"/>
          <w:sz w:val="24"/>
        </w:rPr>
      </w:pPr>
      <w:r>
        <w:rPr>
          <w:rFonts w:cs="Arial"/>
          <w:sz w:val="24"/>
        </w:rPr>
        <w:t>"</w:t>
      </w:r>
      <w:r w:rsidRPr="00934BFC">
        <w:rPr>
          <w:rFonts w:cs="Arial"/>
          <w:sz w:val="24"/>
        </w:rPr>
        <w:t xml:space="preserve">State </w:t>
      </w:r>
      <w:r w:rsidR="00431AA7">
        <w:rPr>
          <w:rFonts w:cs="Arial"/>
          <w:sz w:val="24"/>
        </w:rPr>
        <w:t>B</w:t>
      </w:r>
      <w:r w:rsidRPr="00934BFC">
        <w:rPr>
          <w:rFonts w:cs="Arial"/>
          <w:sz w:val="24"/>
        </w:rPr>
        <w:t>ank</w:t>
      </w:r>
      <w:r>
        <w:rPr>
          <w:rFonts w:cs="Arial"/>
          <w:sz w:val="24"/>
        </w:rPr>
        <w:t>"</w:t>
      </w:r>
      <w:r w:rsidRPr="00934BFC">
        <w:rPr>
          <w:rFonts w:cs="Arial"/>
          <w:sz w:val="24"/>
        </w:rPr>
        <w:t xml:space="preserve"> or </w:t>
      </w:r>
      <w:r>
        <w:rPr>
          <w:rFonts w:cs="Arial"/>
          <w:sz w:val="24"/>
        </w:rPr>
        <w:t>"</w:t>
      </w:r>
      <w:r w:rsidR="00431AA7">
        <w:rPr>
          <w:rFonts w:cs="Arial"/>
          <w:sz w:val="24"/>
        </w:rPr>
        <w:t>B</w:t>
      </w:r>
      <w:r w:rsidRPr="00934BFC">
        <w:rPr>
          <w:rFonts w:cs="Arial"/>
          <w:sz w:val="24"/>
        </w:rPr>
        <w:t>ank</w:t>
      </w:r>
      <w:r>
        <w:rPr>
          <w:rFonts w:cs="Arial"/>
          <w:sz w:val="24"/>
        </w:rPr>
        <w:t>"</w:t>
      </w:r>
      <w:r w:rsidRPr="00934BFC">
        <w:rPr>
          <w:rFonts w:cs="Arial"/>
          <w:sz w:val="24"/>
        </w:rPr>
        <w:t xml:space="preserve"> means a bank that has a banking charter issued under the Act, or a savings bank that has a charter issued under Section 1001 of the Savings Bank Act.</w:t>
      </w:r>
    </w:p>
    <w:p w:rsidR="000174EB" w:rsidRPr="000C5830" w:rsidRDefault="000174EB" w:rsidP="00ED1026">
      <w:pPr>
        <w:rPr>
          <w:sz w:val="24"/>
          <w:szCs w:val="24"/>
        </w:rPr>
      </w:pPr>
    </w:p>
    <w:p w:rsidR="00ED1026" w:rsidRPr="00ED1026" w:rsidRDefault="00ED1026">
      <w:pPr>
        <w:pStyle w:val="JCARSourceNote"/>
        <w:ind w:left="720"/>
        <w:rPr>
          <w:sz w:val="24"/>
          <w:szCs w:val="24"/>
        </w:rPr>
      </w:pPr>
      <w:r w:rsidRPr="00ED1026">
        <w:rPr>
          <w:sz w:val="24"/>
          <w:szCs w:val="24"/>
        </w:rPr>
        <w:t xml:space="preserve">(Source:  Added at 37 Ill. Reg. </w:t>
      </w:r>
      <w:r w:rsidR="008A7A6F">
        <w:rPr>
          <w:sz w:val="24"/>
          <w:szCs w:val="24"/>
        </w:rPr>
        <w:t>5807</w:t>
      </w:r>
      <w:r w:rsidRPr="00ED1026">
        <w:rPr>
          <w:sz w:val="24"/>
          <w:szCs w:val="24"/>
        </w:rPr>
        <w:t xml:space="preserve">, effective </w:t>
      </w:r>
      <w:bookmarkStart w:id="0" w:name="_GoBack"/>
      <w:r w:rsidR="008A7A6F">
        <w:rPr>
          <w:sz w:val="24"/>
          <w:szCs w:val="24"/>
        </w:rPr>
        <w:t>April 22, 2013</w:t>
      </w:r>
      <w:bookmarkEnd w:id="0"/>
      <w:r w:rsidRPr="00ED1026">
        <w:rPr>
          <w:sz w:val="24"/>
          <w:szCs w:val="24"/>
        </w:rPr>
        <w:t>)</w:t>
      </w:r>
    </w:p>
    <w:sectPr w:rsidR="00ED1026" w:rsidRPr="00ED10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26" w:rsidRDefault="00AE5D26">
      <w:r>
        <w:separator/>
      </w:r>
    </w:p>
  </w:endnote>
  <w:endnote w:type="continuationSeparator" w:id="0">
    <w:p w:rsidR="00AE5D26" w:rsidRDefault="00AE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26" w:rsidRDefault="00AE5D26">
      <w:r>
        <w:separator/>
      </w:r>
    </w:p>
  </w:footnote>
  <w:footnote w:type="continuationSeparator" w:id="0">
    <w:p w:rsidR="00AE5D26" w:rsidRDefault="00AE5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F38E9"/>
    <w:multiLevelType w:val="multilevel"/>
    <w:tmpl w:val="30F8F586"/>
    <w:lvl w:ilvl="0">
      <w:start w:val="1"/>
      <w:numFmt w:val="bullet"/>
      <w:lvlText w:val="§"/>
      <w:lvlJc w:val="left"/>
      <w:pPr>
        <w:ind w:left="720" w:hanging="360"/>
      </w:pPr>
      <w:rPr>
        <w:rFonts w:ascii="Calibri" w:hAnsi="Calibri" w:hint="default"/>
        <w:color w:val="auto"/>
      </w:rPr>
    </w:lvl>
    <w:lvl w:ilvl="1">
      <w:start w:val="1"/>
      <w:numFmt w:val="lowerLetter"/>
      <w:lvlText w:val="(%2)"/>
      <w:lvlJc w:val="left"/>
      <w:pPr>
        <w:ind w:left="1080" w:hanging="360"/>
      </w:pPr>
      <w:rPr>
        <w:rFonts w:ascii="Calibri" w:hAnsi="Calibri" w:cs="Times New Roman" w:hint="default"/>
        <w:color w:val="auto"/>
      </w:rPr>
    </w:lvl>
    <w:lvl w:ilvl="2">
      <w:start w:val="1"/>
      <w:numFmt w:val="decimal"/>
      <w:lvlText w:val="(%3)"/>
      <w:lvlJc w:val="left"/>
      <w:pPr>
        <w:ind w:left="1440" w:hanging="360"/>
      </w:pPr>
      <w:rPr>
        <w:rFonts w:cs="Times New Roman" w:hint="default"/>
      </w:rPr>
    </w:lvl>
    <w:lvl w:ilvl="3">
      <w:start w:val="1"/>
      <w:numFmt w:val="lowerRoman"/>
      <w:lvlText w:val="(%4)"/>
      <w:lvlJc w:val="left"/>
      <w:pPr>
        <w:ind w:left="1800" w:hanging="360"/>
      </w:pPr>
      <w:rPr>
        <w:rFonts w:cs="Times New Roman" w:hint="default"/>
      </w:rPr>
    </w:lvl>
    <w:lvl w:ilvl="4">
      <w:start w:val="1"/>
      <w:numFmt w:val="upperLetter"/>
      <w:lvlText w:val="(%5)"/>
      <w:lvlJc w:val="left"/>
      <w:pPr>
        <w:ind w:left="2160" w:hanging="360"/>
      </w:pPr>
      <w:rPr>
        <w:rFonts w:cs="Times New Roman" w:hint="default"/>
      </w:rPr>
    </w:lvl>
    <w:lvl w:ilvl="5">
      <w:start w:val="1"/>
      <w:numFmt w:val="decimal"/>
      <w:lvlText w:val="%6."/>
      <w:lvlJc w:val="left"/>
      <w:pPr>
        <w:ind w:left="2880" w:hanging="360"/>
      </w:pPr>
      <w:rPr>
        <w:rFonts w:cs="Times New Roman" w:hint="default"/>
      </w:rPr>
    </w:lvl>
    <w:lvl w:ilvl="6">
      <w:start w:val="1"/>
      <w:numFmt w:val="lowerRoman"/>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bullet"/>
      <w:lvlText w:val=""/>
      <w:lvlJc w:val="left"/>
      <w:pPr>
        <w:ind w:left="360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8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26D6"/>
    <w:rsid w:val="000C583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F2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931"/>
    <w:rsid w:val="004014FB"/>
    <w:rsid w:val="00404222"/>
    <w:rsid w:val="0040431F"/>
    <w:rsid w:val="00420E63"/>
    <w:rsid w:val="004218A0"/>
    <w:rsid w:val="00425923"/>
    <w:rsid w:val="00426A13"/>
    <w:rsid w:val="00431AA7"/>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44C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A6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5D26"/>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6E3"/>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C8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C45"/>
    <w:rsid w:val="00DA0ABE"/>
    <w:rsid w:val="00DA22A6"/>
    <w:rsid w:val="00DA3644"/>
    <w:rsid w:val="00DB2CC7"/>
    <w:rsid w:val="00DB78E4"/>
    <w:rsid w:val="00DC016D"/>
    <w:rsid w:val="00DC505C"/>
    <w:rsid w:val="00DC5FDC"/>
    <w:rsid w:val="00DC7214"/>
    <w:rsid w:val="00DD3C9D"/>
    <w:rsid w:val="00DE10F3"/>
    <w:rsid w:val="00DE3439"/>
    <w:rsid w:val="00DE42D9"/>
    <w:rsid w:val="00DE5010"/>
    <w:rsid w:val="00DF0813"/>
    <w:rsid w:val="00DF25BD"/>
    <w:rsid w:val="00E0634B"/>
    <w:rsid w:val="00E11728"/>
    <w:rsid w:val="00E16B25"/>
    <w:rsid w:val="00E17F21"/>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026"/>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026"/>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D1026"/>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p">
    <w:name w:val="p"/>
    <w:basedOn w:val="DefaultParagraphFont"/>
    <w:rsid w:val="00ED1026"/>
    <w:rPr>
      <w:rFonts w:cs="Times New Roman"/>
    </w:rPr>
  </w:style>
  <w:style w:type="character" w:customStyle="1" w:styleId="e-03">
    <w:name w:val="e-03"/>
    <w:basedOn w:val="DefaultParagraphFont"/>
    <w:rsid w:val="00ED1026"/>
    <w:rPr>
      <w:rFonts w:cs="Times New Roman"/>
    </w:rPr>
  </w:style>
  <w:style w:type="character" w:customStyle="1" w:styleId="apple-converted-space">
    <w:name w:val="apple-converted-space"/>
    <w:basedOn w:val="DefaultParagraphFont"/>
    <w:rsid w:val="00ED102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026"/>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D1026"/>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p">
    <w:name w:val="p"/>
    <w:basedOn w:val="DefaultParagraphFont"/>
    <w:rsid w:val="00ED1026"/>
    <w:rPr>
      <w:rFonts w:cs="Times New Roman"/>
    </w:rPr>
  </w:style>
  <w:style w:type="character" w:customStyle="1" w:styleId="e-03">
    <w:name w:val="e-03"/>
    <w:basedOn w:val="DefaultParagraphFont"/>
    <w:rsid w:val="00ED1026"/>
    <w:rPr>
      <w:rFonts w:cs="Times New Roman"/>
    </w:rPr>
  </w:style>
  <w:style w:type="character" w:customStyle="1" w:styleId="apple-converted-space">
    <w:name w:val="apple-converted-space"/>
    <w:basedOn w:val="DefaultParagraphFont"/>
    <w:rsid w:val="00ED10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2013-04-17T19:54:00Z</dcterms:created>
  <dcterms:modified xsi:type="dcterms:W3CDTF">2013-04-26T18:46:00Z</dcterms:modified>
</cp:coreProperties>
</file>