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64" w:rsidRDefault="00B62864" w:rsidP="00B62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864" w:rsidRDefault="00B62864" w:rsidP="00B628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320.20  General Banking Business</w:t>
      </w:r>
      <w:r>
        <w:t xml:space="preserve"> </w:t>
      </w:r>
    </w:p>
    <w:p w:rsidR="00B62864" w:rsidRDefault="00B62864" w:rsidP="00B62864">
      <w:pPr>
        <w:widowControl w:val="0"/>
        <w:autoSpaceDE w:val="0"/>
        <w:autoSpaceDN w:val="0"/>
        <w:adjustRightInd w:val="0"/>
      </w:pPr>
    </w:p>
    <w:p w:rsidR="00B62864" w:rsidRDefault="00B62864" w:rsidP="00B62864">
      <w:pPr>
        <w:widowControl w:val="0"/>
        <w:autoSpaceDE w:val="0"/>
        <w:autoSpaceDN w:val="0"/>
        <w:adjustRightInd w:val="0"/>
      </w:pPr>
      <w:r>
        <w:t xml:space="preserve">A state bank has the power to do a general banking business and the power to engage in activities which are incidental and germane to carrying on a general banking business (Corbett v. Devon Bank, 299 N.E. 2d 521, 529 (1973)). </w:t>
      </w:r>
    </w:p>
    <w:sectPr w:rsidR="00B62864" w:rsidSect="00B62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864"/>
    <w:rsid w:val="000575B6"/>
    <w:rsid w:val="005C3366"/>
    <w:rsid w:val="007B1DCB"/>
    <w:rsid w:val="00A91C0C"/>
    <w:rsid w:val="00B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