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AF" w:rsidRPr="00D45F76" w:rsidRDefault="009420AF" w:rsidP="009420AF">
      <w:pPr>
        <w:widowControl w:val="0"/>
        <w:autoSpaceDE w:val="0"/>
        <w:autoSpaceDN w:val="0"/>
        <w:adjustRightInd w:val="0"/>
      </w:pPr>
    </w:p>
    <w:p w:rsidR="009420AF" w:rsidRPr="00D45F76" w:rsidRDefault="009420AF" w:rsidP="009420AF">
      <w:pPr>
        <w:widowControl w:val="0"/>
        <w:autoSpaceDE w:val="0"/>
        <w:autoSpaceDN w:val="0"/>
        <w:adjustRightInd w:val="0"/>
      </w:pPr>
      <w:r w:rsidRPr="00D45F76">
        <w:rPr>
          <w:b/>
          <w:bCs/>
        </w:rPr>
        <w:t xml:space="preserve">Section 190.160  Lending Limits </w:t>
      </w:r>
      <w:r w:rsidR="00125101" w:rsidRPr="00D45F76">
        <w:rPr>
          <w:b/>
          <w:bCs/>
        </w:rPr>
        <w:t>–</w:t>
      </w:r>
      <w:r w:rsidRPr="00D45F76">
        <w:rPr>
          <w:b/>
          <w:bCs/>
        </w:rPr>
        <w:t xml:space="preserve"> Consumer Loans</w:t>
      </w:r>
      <w:r w:rsidRPr="00D45F76">
        <w:t xml:space="preserve"> </w:t>
      </w:r>
    </w:p>
    <w:p w:rsidR="009420AF" w:rsidRPr="00D45F76" w:rsidRDefault="009420AF" w:rsidP="009420AF">
      <w:pPr>
        <w:widowControl w:val="0"/>
        <w:autoSpaceDE w:val="0"/>
        <w:autoSpaceDN w:val="0"/>
        <w:adjustRightInd w:val="0"/>
      </w:pP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  <w:r w:rsidRPr="00D45F76">
        <w:t>a)</w:t>
      </w:r>
      <w:r w:rsidRPr="00D45F76">
        <w:tab/>
        <w:t xml:space="preserve">The </w:t>
      </w:r>
      <w:r w:rsidR="000D6F26" w:rsidRPr="00D45F76">
        <w:t>board</w:t>
      </w:r>
      <w:r w:rsidRPr="00D45F76">
        <w:t xml:space="preserve"> of </w:t>
      </w:r>
      <w:r w:rsidR="000D6F26" w:rsidRPr="00D45F76">
        <w:t>directors</w:t>
      </w:r>
      <w:r w:rsidRPr="00D45F76">
        <w:t xml:space="preserve"> of a credit union shall, for loans other than loans secured by an interest in real estate, establish the maximum lending limits </w:t>
      </w:r>
      <w:r w:rsidR="006705B1" w:rsidRPr="00D45F76">
        <w:t>that</w:t>
      </w:r>
      <w:r w:rsidRPr="00D45F76">
        <w:t xml:space="preserve"> shall not exceed the limits in the following schedule.  A credit union may request approval from the </w:t>
      </w:r>
      <w:r w:rsidR="009346F0" w:rsidRPr="00D45F76">
        <w:t>Secretary</w:t>
      </w:r>
      <w:r w:rsidRPr="00D45F76">
        <w:t xml:space="preserve"> for an exception to these limits, which shall be in writing </w:t>
      </w:r>
      <w:bookmarkStart w:id="0" w:name="_GoBack"/>
      <w:bookmarkEnd w:id="0"/>
      <w:r w:rsidRPr="00D45F76">
        <w:t xml:space="preserve">substantiating the need for higher limits, </w:t>
      </w:r>
      <w:r w:rsidR="006705B1" w:rsidRPr="00D45F76">
        <w:t xml:space="preserve">shall </w:t>
      </w:r>
      <w:r w:rsidRPr="00D45F76">
        <w:t>detail the credit union</w:t>
      </w:r>
      <w:r w:rsidR="00ED7728" w:rsidRPr="00D45F76">
        <w:t xml:space="preserve">'s record of </w:t>
      </w:r>
      <w:r w:rsidRPr="00D45F76">
        <w:t>lending activity, and shall include financial statements reflecting sound fiscal history.  In no event shall all loans to any member exceed</w:t>
      </w:r>
      <w:r w:rsidR="006705B1" w:rsidRPr="00D45F76">
        <w:t>,</w:t>
      </w:r>
      <w:r w:rsidRPr="00D45F76">
        <w:t xml:space="preserve"> in the aggregate</w:t>
      </w:r>
      <w:r w:rsidR="006705B1" w:rsidRPr="00D45F76">
        <w:t>,</w:t>
      </w:r>
      <w:r w:rsidRPr="00D45F76">
        <w:t xml:space="preserve"> 10% of the credit union's unimpaired capital and surplus</w:t>
      </w:r>
      <w:r w:rsidR="00785C44" w:rsidRPr="00D45F76">
        <w:t xml:space="preserve"> as defined in </w:t>
      </w:r>
      <w:r w:rsidR="00125101" w:rsidRPr="00D45F76">
        <w:t>S</w:t>
      </w:r>
      <w:r w:rsidR="00785C44" w:rsidRPr="00D45F76">
        <w:t>ection 190.2</w:t>
      </w:r>
      <w:r w:rsidRPr="00D45F76">
        <w:t xml:space="preserve">. </w:t>
      </w: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8370" w:type="dxa"/>
        <w:tblInd w:w="1368" w:type="dxa"/>
        <w:tblLayout w:type="fixed"/>
        <w:tblLook w:val="01E0" w:firstRow="1" w:lastRow="1" w:firstColumn="1" w:lastColumn="1" w:noHBand="0" w:noVBand="0"/>
      </w:tblPr>
      <w:tblGrid>
        <w:gridCol w:w="1242"/>
        <w:gridCol w:w="288"/>
        <w:gridCol w:w="1557"/>
        <w:gridCol w:w="243"/>
        <w:gridCol w:w="2520"/>
        <w:gridCol w:w="252"/>
        <w:gridCol w:w="2268"/>
      </w:tblGrid>
      <w:tr w:rsidR="003968DA" w:rsidRPr="00D45F76" w:rsidTr="00B74611">
        <w:tc>
          <w:tcPr>
            <w:tcW w:w="3087" w:type="dxa"/>
            <w:gridSpan w:val="3"/>
            <w:tcBorders>
              <w:bottom w:val="single" w:sz="4" w:space="0" w:color="auto"/>
            </w:tcBorders>
            <w:vAlign w:val="bottom"/>
          </w:tcPr>
          <w:p w:rsidR="003968DA" w:rsidRPr="00D45F76" w:rsidRDefault="003968DA" w:rsidP="00396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F76">
              <w:t>Total Credit</w:t>
            </w:r>
          </w:p>
          <w:p w:rsidR="003968DA" w:rsidRPr="00D45F76" w:rsidRDefault="003968DA" w:rsidP="00396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F76">
              <w:t>Union Assets</w:t>
            </w:r>
          </w:p>
        </w:tc>
        <w:tc>
          <w:tcPr>
            <w:tcW w:w="243" w:type="dxa"/>
            <w:vAlign w:val="bottom"/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3968DA" w:rsidRPr="00D45F76" w:rsidRDefault="003968DA" w:rsidP="00A5084A">
            <w:pPr>
              <w:widowControl w:val="0"/>
              <w:autoSpaceDE w:val="0"/>
              <w:autoSpaceDN w:val="0"/>
              <w:adjustRightInd w:val="0"/>
              <w:ind w:left="-90" w:right="-113"/>
              <w:jc w:val="center"/>
            </w:pPr>
            <w:r w:rsidRPr="00D45F76">
              <w:t>Maximum Unsecured Limit</w:t>
            </w:r>
            <w:r w:rsidR="00785C44" w:rsidRPr="00D45F76">
              <w:t>, Including Unsecured Credit Cards</w:t>
            </w:r>
          </w:p>
        </w:tc>
        <w:tc>
          <w:tcPr>
            <w:tcW w:w="252" w:type="dxa"/>
            <w:vAlign w:val="bottom"/>
          </w:tcPr>
          <w:p w:rsidR="003968DA" w:rsidRPr="00D45F76" w:rsidRDefault="003968DA" w:rsidP="003968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20D91" w:rsidRPr="00D45F76" w:rsidRDefault="003968DA" w:rsidP="00B74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F76">
              <w:t>Maximum</w:t>
            </w:r>
          </w:p>
          <w:p w:rsidR="003968DA" w:rsidRPr="00D45F76" w:rsidRDefault="003968DA" w:rsidP="00B74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5F76">
              <w:t>Secured Limit</w:t>
            </w:r>
          </w:p>
        </w:tc>
      </w:tr>
      <w:tr w:rsidR="003968DA" w:rsidRPr="00D45F76" w:rsidTr="00B74611">
        <w:trPr>
          <w:trHeight w:val="287"/>
        </w:trPr>
        <w:tc>
          <w:tcPr>
            <w:tcW w:w="1242" w:type="dxa"/>
            <w:tcBorders>
              <w:top w:val="single" w:sz="4" w:space="0" w:color="auto"/>
            </w:tcBorders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968DA" w:rsidRPr="00D45F76" w:rsidRDefault="003968DA" w:rsidP="006705B1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" w:type="dxa"/>
          </w:tcPr>
          <w:p w:rsidR="003968DA" w:rsidRPr="00D45F76" w:rsidRDefault="003968DA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68DA" w:rsidRPr="00D45F76" w:rsidRDefault="003968DA" w:rsidP="00B746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5C44" w:rsidRPr="00D45F76" w:rsidTr="00B74611">
        <w:trPr>
          <w:trHeight w:val="324"/>
        </w:trPr>
        <w:tc>
          <w:tcPr>
            <w:tcW w:w="1242" w:type="dxa"/>
          </w:tcPr>
          <w:p w:rsidR="00785C44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-507" w:right="-32"/>
              <w:jc w:val="right"/>
            </w:pPr>
            <w:r w:rsidRPr="00D45F76">
              <w:t>$0</w:t>
            </w:r>
          </w:p>
        </w:tc>
        <w:tc>
          <w:tcPr>
            <w:tcW w:w="288" w:type="dxa"/>
          </w:tcPr>
          <w:p w:rsidR="00785C44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785C44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500,000</w:t>
            </w:r>
          </w:p>
        </w:tc>
        <w:tc>
          <w:tcPr>
            <w:tcW w:w="243" w:type="dxa"/>
          </w:tcPr>
          <w:p w:rsidR="00785C44" w:rsidRPr="00D45F76" w:rsidRDefault="00785C44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785C44" w:rsidRPr="00D45F76" w:rsidRDefault="009346F0" w:rsidP="00B74611">
            <w:pPr>
              <w:widowControl w:val="0"/>
              <w:tabs>
                <w:tab w:val="left" w:pos="547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$4,000*</w:t>
            </w:r>
            <w:r w:rsidR="00785C44" w:rsidRPr="00D45F76">
              <w:t>$</w:t>
            </w:r>
          </w:p>
        </w:tc>
        <w:tc>
          <w:tcPr>
            <w:tcW w:w="252" w:type="dxa"/>
          </w:tcPr>
          <w:p w:rsidR="00785C44" w:rsidRPr="00D45F76" w:rsidRDefault="00785C44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785C44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$30,000*</w:t>
            </w:r>
          </w:p>
        </w:tc>
      </w:tr>
      <w:tr w:rsidR="00EB401B" w:rsidRPr="00D45F76" w:rsidTr="00B74611">
        <w:tc>
          <w:tcPr>
            <w:tcW w:w="1242" w:type="dxa"/>
          </w:tcPr>
          <w:p w:rsidR="00EB401B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-507" w:right="-32"/>
              <w:jc w:val="right"/>
            </w:pPr>
            <w:r w:rsidRPr="00D45F76">
              <w:t>$</w:t>
            </w:r>
            <w:r w:rsidR="00EB401B" w:rsidRPr="00D45F76">
              <w:t>500,000</w:t>
            </w:r>
          </w:p>
        </w:tc>
        <w:tc>
          <w:tcPr>
            <w:tcW w:w="288" w:type="dxa"/>
          </w:tcPr>
          <w:p w:rsidR="00EB401B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EB401B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1</w:t>
            </w:r>
            <w:r w:rsidR="00EB401B" w:rsidRPr="00D45F76">
              <w:t xml:space="preserve"> million</w:t>
            </w:r>
          </w:p>
        </w:tc>
        <w:tc>
          <w:tcPr>
            <w:tcW w:w="243" w:type="dxa"/>
          </w:tcPr>
          <w:p w:rsidR="00EB401B" w:rsidRPr="00D45F76" w:rsidRDefault="00EB401B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EB401B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$8,000</w:t>
            </w:r>
          </w:p>
        </w:tc>
        <w:tc>
          <w:tcPr>
            <w:tcW w:w="252" w:type="dxa"/>
          </w:tcPr>
          <w:p w:rsidR="00EB401B" w:rsidRPr="00D45F76" w:rsidRDefault="00EB401B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EB401B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$38,000</w:t>
            </w:r>
          </w:p>
        </w:tc>
      </w:tr>
      <w:tr w:rsidR="00EB401B" w:rsidRPr="00D45F76" w:rsidTr="00B74611">
        <w:tc>
          <w:tcPr>
            <w:tcW w:w="1242" w:type="dxa"/>
          </w:tcPr>
          <w:p w:rsidR="00EB401B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291" w:right="-32"/>
              <w:jc w:val="right"/>
            </w:pPr>
            <w:r w:rsidRPr="00D45F76">
              <w:t>$1</w:t>
            </w:r>
          </w:p>
        </w:tc>
        <w:tc>
          <w:tcPr>
            <w:tcW w:w="288" w:type="dxa"/>
          </w:tcPr>
          <w:p w:rsidR="00EB401B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EB401B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5</w:t>
            </w:r>
            <w:r w:rsidR="00EB401B" w:rsidRPr="00D45F76">
              <w:t xml:space="preserve"> million</w:t>
            </w:r>
          </w:p>
        </w:tc>
        <w:tc>
          <w:tcPr>
            <w:tcW w:w="243" w:type="dxa"/>
          </w:tcPr>
          <w:p w:rsidR="00EB401B" w:rsidRPr="00D45F76" w:rsidRDefault="00EB401B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EB401B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$15,000</w:t>
            </w:r>
          </w:p>
        </w:tc>
        <w:tc>
          <w:tcPr>
            <w:tcW w:w="252" w:type="dxa"/>
          </w:tcPr>
          <w:p w:rsidR="00EB401B" w:rsidRPr="00D45F76" w:rsidRDefault="00EB401B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EB401B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$60,000</w:t>
            </w:r>
          </w:p>
        </w:tc>
      </w:tr>
      <w:tr w:rsidR="00EB401B" w:rsidRPr="00D45F76" w:rsidTr="00B74611">
        <w:tc>
          <w:tcPr>
            <w:tcW w:w="1242" w:type="dxa"/>
          </w:tcPr>
          <w:p w:rsidR="00EB401B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291" w:right="-32"/>
              <w:jc w:val="right"/>
            </w:pPr>
            <w:r w:rsidRPr="00D45F76">
              <w:t>$5</w:t>
            </w:r>
          </w:p>
        </w:tc>
        <w:tc>
          <w:tcPr>
            <w:tcW w:w="288" w:type="dxa"/>
          </w:tcPr>
          <w:p w:rsidR="00EB401B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EB401B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10</w:t>
            </w:r>
            <w:r w:rsidR="00EB401B" w:rsidRPr="00D45F76">
              <w:t xml:space="preserve"> million</w:t>
            </w:r>
          </w:p>
        </w:tc>
        <w:tc>
          <w:tcPr>
            <w:tcW w:w="243" w:type="dxa"/>
          </w:tcPr>
          <w:p w:rsidR="00EB401B" w:rsidRPr="00D45F76" w:rsidRDefault="00EB401B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EB401B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$18,000</w:t>
            </w:r>
          </w:p>
        </w:tc>
        <w:tc>
          <w:tcPr>
            <w:tcW w:w="252" w:type="dxa"/>
          </w:tcPr>
          <w:p w:rsidR="00EB401B" w:rsidRPr="00D45F76" w:rsidRDefault="00EB401B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EB401B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$75,000</w:t>
            </w:r>
          </w:p>
        </w:tc>
      </w:tr>
      <w:tr w:rsidR="00EB401B" w:rsidRPr="00D45F76" w:rsidTr="00B74611">
        <w:tc>
          <w:tcPr>
            <w:tcW w:w="1242" w:type="dxa"/>
          </w:tcPr>
          <w:p w:rsidR="00EB401B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291" w:right="-32"/>
              <w:jc w:val="right"/>
            </w:pPr>
            <w:r w:rsidRPr="00D45F76">
              <w:t>10</w:t>
            </w:r>
          </w:p>
        </w:tc>
        <w:tc>
          <w:tcPr>
            <w:tcW w:w="288" w:type="dxa"/>
          </w:tcPr>
          <w:p w:rsidR="00EB401B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EB401B" w:rsidRPr="00D45F76" w:rsidRDefault="00EB401B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30 million</w:t>
            </w:r>
          </w:p>
        </w:tc>
        <w:tc>
          <w:tcPr>
            <w:tcW w:w="243" w:type="dxa"/>
          </w:tcPr>
          <w:p w:rsidR="00EB401B" w:rsidRPr="00D45F76" w:rsidRDefault="00EB401B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EB401B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$24,000</w:t>
            </w:r>
          </w:p>
        </w:tc>
        <w:tc>
          <w:tcPr>
            <w:tcW w:w="252" w:type="dxa"/>
          </w:tcPr>
          <w:p w:rsidR="00EB401B" w:rsidRPr="00D45F76" w:rsidRDefault="00EB401B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EB401B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$98,000</w:t>
            </w:r>
          </w:p>
        </w:tc>
      </w:tr>
      <w:tr w:rsidR="00785C44" w:rsidRPr="00D45F76" w:rsidTr="00B74611">
        <w:tc>
          <w:tcPr>
            <w:tcW w:w="1242" w:type="dxa"/>
          </w:tcPr>
          <w:p w:rsidR="00785C44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291" w:right="-32"/>
              <w:jc w:val="right"/>
            </w:pPr>
            <w:r w:rsidRPr="00D45F76">
              <w:t>$30</w:t>
            </w:r>
          </w:p>
        </w:tc>
        <w:tc>
          <w:tcPr>
            <w:tcW w:w="288" w:type="dxa"/>
          </w:tcPr>
          <w:p w:rsidR="00785C44" w:rsidRPr="00D45F76" w:rsidRDefault="00C309D8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  <w:r w:rsidRPr="00D45F76">
              <w:t>-</w:t>
            </w:r>
          </w:p>
        </w:tc>
        <w:tc>
          <w:tcPr>
            <w:tcW w:w="1557" w:type="dxa"/>
          </w:tcPr>
          <w:p w:rsidR="00785C44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100 million</w:t>
            </w:r>
          </w:p>
        </w:tc>
        <w:tc>
          <w:tcPr>
            <w:tcW w:w="243" w:type="dxa"/>
          </w:tcPr>
          <w:p w:rsidR="00785C44" w:rsidRPr="00D45F76" w:rsidRDefault="00785C44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785C44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$30,000</w:t>
            </w:r>
          </w:p>
        </w:tc>
        <w:tc>
          <w:tcPr>
            <w:tcW w:w="252" w:type="dxa"/>
          </w:tcPr>
          <w:p w:rsidR="00785C44" w:rsidRPr="00D45F76" w:rsidRDefault="00785C44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785C44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$120,000</w:t>
            </w:r>
          </w:p>
        </w:tc>
      </w:tr>
      <w:tr w:rsidR="00785C44" w:rsidRPr="00D45F76" w:rsidTr="00B74611">
        <w:tc>
          <w:tcPr>
            <w:tcW w:w="1242" w:type="dxa"/>
          </w:tcPr>
          <w:p w:rsidR="00785C44" w:rsidRPr="00D45F76" w:rsidRDefault="00785C44" w:rsidP="004F3FD2">
            <w:pPr>
              <w:widowControl w:val="0"/>
              <w:tabs>
                <w:tab w:val="left" w:pos="-1932"/>
                <w:tab w:val="left" w:pos="0"/>
              </w:tabs>
              <w:autoSpaceDE w:val="0"/>
              <w:autoSpaceDN w:val="0"/>
              <w:adjustRightInd w:val="0"/>
              <w:ind w:left="291" w:right="-32"/>
              <w:jc w:val="right"/>
            </w:pPr>
            <w:r w:rsidRPr="00D45F76">
              <w:t>Over</w:t>
            </w:r>
          </w:p>
        </w:tc>
        <w:tc>
          <w:tcPr>
            <w:tcW w:w="288" w:type="dxa"/>
          </w:tcPr>
          <w:p w:rsidR="00785C44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108" w:right="-108" w:hanging="90"/>
              <w:jc w:val="center"/>
            </w:pPr>
          </w:p>
        </w:tc>
        <w:tc>
          <w:tcPr>
            <w:tcW w:w="1557" w:type="dxa"/>
          </w:tcPr>
          <w:p w:rsidR="00785C44" w:rsidRPr="00D45F76" w:rsidRDefault="00785C44" w:rsidP="006705B1">
            <w:pPr>
              <w:widowControl w:val="0"/>
              <w:autoSpaceDE w:val="0"/>
              <w:autoSpaceDN w:val="0"/>
              <w:adjustRightInd w:val="0"/>
              <w:ind w:left="-99"/>
            </w:pPr>
            <w:r w:rsidRPr="00D45F76">
              <w:t>$100 million</w:t>
            </w:r>
          </w:p>
        </w:tc>
        <w:tc>
          <w:tcPr>
            <w:tcW w:w="243" w:type="dxa"/>
          </w:tcPr>
          <w:p w:rsidR="00785C44" w:rsidRPr="00D45F76" w:rsidRDefault="00785C44" w:rsidP="009420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785C44" w:rsidRPr="00D45F76" w:rsidRDefault="009346F0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$48,000</w:t>
            </w:r>
          </w:p>
        </w:tc>
        <w:tc>
          <w:tcPr>
            <w:tcW w:w="252" w:type="dxa"/>
          </w:tcPr>
          <w:p w:rsidR="00785C44" w:rsidRPr="00D45F76" w:rsidRDefault="00785C44" w:rsidP="00B74611">
            <w:pPr>
              <w:widowControl w:val="0"/>
              <w:autoSpaceDE w:val="0"/>
              <w:autoSpaceDN w:val="0"/>
              <w:adjustRightInd w:val="0"/>
              <w:ind w:left="-126" w:right="-126"/>
              <w:jc w:val="center"/>
            </w:pPr>
          </w:p>
        </w:tc>
        <w:tc>
          <w:tcPr>
            <w:tcW w:w="2268" w:type="dxa"/>
          </w:tcPr>
          <w:p w:rsidR="00785C44" w:rsidRPr="00D45F76" w:rsidRDefault="009346F0" w:rsidP="00B74611">
            <w:pPr>
              <w:widowControl w:val="0"/>
              <w:tabs>
                <w:tab w:val="left" w:pos="4140"/>
                <w:tab w:val="left" w:pos="4950"/>
              </w:tabs>
              <w:autoSpaceDE w:val="0"/>
              <w:autoSpaceDN w:val="0"/>
              <w:adjustRightInd w:val="0"/>
              <w:ind w:left="-126" w:right="-126"/>
              <w:jc w:val="center"/>
            </w:pPr>
            <w:r w:rsidRPr="00D45F76">
              <w:t>$180,000</w:t>
            </w:r>
          </w:p>
        </w:tc>
      </w:tr>
    </w:tbl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</w:p>
    <w:p w:rsidR="00785C44" w:rsidRPr="00D45F76" w:rsidRDefault="00785C44" w:rsidP="00B74611">
      <w:pPr>
        <w:widowControl w:val="0"/>
        <w:autoSpaceDE w:val="0"/>
        <w:autoSpaceDN w:val="0"/>
        <w:adjustRightInd w:val="0"/>
        <w:ind w:left="1683" w:hanging="270"/>
      </w:pPr>
      <w:r w:rsidRPr="00D45F76">
        <w:t>*</w:t>
      </w:r>
      <w:r w:rsidR="00B74611" w:rsidRPr="00D45F76">
        <w:tab/>
      </w:r>
      <w:r w:rsidRPr="00D45F76">
        <w:t>The aggregate loans to one member may not exceed the aggregate limit referenced in subsection (a).</w:t>
      </w:r>
    </w:p>
    <w:p w:rsidR="00785C44" w:rsidRPr="00D45F76" w:rsidRDefault="00785C44" w:rsidP="009420AF">
      <w:pPr>
        <w:widowControl w:val="0"/>
        <w:autoSpaceDE w:val="0"/>
        <w:autoSpaceDN w:val="0"/>
        <w:adjustRightInd w:val="0"/>
        <w:ind w:left="1440" w:hanging="720"/>
      </w:pP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  <w:r w:rsidRPr="00D45F76">
        <w:t>b)</w:t>
      </w:r>
      <w:r w:rsidRPr="00D45F76">
        <w:tab/>
        <w:t xml:space="preserve">The unsecured </w:t>
      </w:r>
      <w:r w:rsidR="00785C44" w:rsidRPr="00D45F76">
        <w:t xml:space="preserve">loan limits, including unsecured credit cards, </w:t>
      </w:r>
      <w:r w:rsidRPr="00D45F76">
        <w:t xml:space="preserve">and secured loan limits are separate limits for each member.  Subject to the member aggregate loan limit referenced in subsection (a) and provided a member is credit worthy, the credit union may lend a total amount equal to the secured and unsecured loan limit </w:t>
      </w:r>
      <w:r w:rsidR="00785C44" w:rsidRPr="00D45F76">
        <w:t xml:space="preserve">in a single loan </w:t>
      </w:r>
      <w:r w:rsidRPr="00D45F76">
        <w:t xml:space="preserve">to any one member. </w:t>
      </w:r>
    </w:p>
    <w:p w:rsidR="006D54E8" w:rsidRPr="00D45F76" w:rsidRDefault="006D54E8" w:rsidP="009420AF">
      <w:pPr>
        <w:widowControl w:val="0"/>
        <w:autoSpaceDE w:val="0"/>
        <w:autoSpaceDN w:val="0"/>
        <w:adjustRightInd w:val="0"/>
        <w:ind w:left="1440" w:hanging="720"/>
      </w:pP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  <w:r w:rsidRPr="00D45F76">
        <w:t>c)</w:t>
      </w:r>
      <w:r w:rsidRPr="00D45F76">
        <w:tab/>
        <w:t xml:space="preserve">The above limits may be extended by the amount of the member's unencumbered share </w:t>
      </w:r>
      <w:r w:rsidR="00125101" w:rsidRPr="00D45F76">
        <w:t>accounts,</w:t>
      </w:r>
      <w:r w:rsidRPr="00D45F76">
        <w:t xml:space="preserve"> which must be pledged and frozen for the loan amount in excess of the limits. </w:t>
      </w:r>
    </w:p>
    <w:p w:rsidR="006D54E8" w:rsidRPr="00D45F76" w:rsidRDefault="006D54E8" w:rsidP="009420AF">
      <w:pPr>
        <w:widowControl w:val="0"/>
        <w:autoSpaceDE w:val="0"/>
        <w:autoSpaceDN w:val="0"/>
        <w:adjustRightInd w:val="0"/>
        <w:ind w:left="1440" w:hanging="720"/>
      </w:pP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  <w:r w:rsidRPr="00D45F76">
        <w:t>d)</w:t>
      </w:r>
      <w:r w:rsidRPr="00D45F76">
        <w:tab/>
        <w:t xml:space="preserve">All loans are to be granted based upon prudent lending practice and procedures and in accordance with written lending policies and procedures prescribed by the </w:t>
      </w:r>
      <w:r w:rsidR="00C309D8" w:rsidRPr="00D45F76">
        <w:t>board</w:t>
      </w:r>
      <w:r w:rsidRPr="00D45F76">
        <w:t xml:space="preserve"> of </w:t>
      </w:r>
      <w:r w:rsidR="00C309D8" w:rsidRPr="00D45F76">
        <w:t>directors</w:t>
      </w:r>
      <w:r w:rsidRPr="00D45F76">
        <w:t xml:space="preserve">. </w:t>
      </w:r>
    </w:p>
    <w:p w:rsidR="009420AF" w:rsidRPr="00D45F76" w:rsidRDefault="009420AF" w:rsidP="009420AF">
      <w:pPr>
        <w:widowControl w:val="0"/>
        <w:autoSpaceDE w:val="0"/>
        <w:autoSpaceDN w:val="0"/>
        <w:adjustRightInd w:val="0"/>
        <w:ind w:left="1440" w:hanging="720"/>
      </w:pPr>
    </w:p>
    <w:p w:rsidR="009346F0" w:rsidRPr="00D45F76" w:rsidRDefault="009346F0">
      <w:pPr>
        <w:pStyle w:val="JCARSourceNote"/>
        <w:ind w:left="720"/>
      </w:pPr>
      <w:r w:rsidRPr="00D45F76">
        <w:t>(Source:  Amended at 3</w:t>
      </w:r>
      <w:r w:rsidR="00FE31AF" w:rsidRPr="00D45F76">
        <w:t>7</w:t>
      </w:r>
      <w:r w:rsidRPr="00D45F76">
        <w:t xml:space="preserve"> Ill. Reg. </w:t>
      </w:r>
      <w:r w:rsidR="00804166" w:rsidRPr="00D45F76">
        <w:t>12450</w:t>
      </w:r>
      <w:r w:rsidRPr="00D45F76">
        <w:t xml:space="preserve">, effective </w:t>
      </w:r>
      <w:r w:rsidR="00804166" w:rsidRPr="00D45F76">
        <w:t>July 16, 2013</w:t>
      </w:r>
      <w:r w:rsidRPr="00D45F76">
        <w:t>)</w:t>
      </w:r>
    </w:p>
    <w:sectPr w:rsidR="009346F0" w:rsidRPr="00D45F76" w:rsidSect="00942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0AF"/>
    <w:rsid w:val="000D6F26"/>
    <w:rsid w:val="00125101"/>
    <w:rsid w:val="001D6992"/>
    <w:rsid w:val="003968DA"/>
    <w:rsid w:val="00485548"/>
    <w:rsid w:val="004D6E82"/>
    <w:rsid w:val="004F3FD2"/>
    <w:rsid w:val="00520D91"/>
    <w:rsid w:val="005C3366"/>
    <w:rsid w:val="006705B1"/>
    <w:rsid w:val="006D54E8"/>
    <w:rsid w:val="00785C44"/>
    <w:rsid w:val="00804166"/>
    <w:rsid w:val="009346F0"/>
    <w:rsid w:val="009420AF"/>
    <w:rsid w:val="0094706A"/>
    <w:rsid w:val="00A308A7"/>
    <w:rsid w:val="00A35FF3"/>
    <w:rsid w:val="00A5084A"/>
    <w:rsid w:val="00A909A5"/>
    <w:rsid w:val="00A9479B"/>
    <w:rsid w:val="00B74611"/>
    <w:rsid w:val="00BE5FBA"/>
    <w:rsid w:val="00C228B8"/>
    <w:rsid w:val="00C309D8"/>
    <w:rsid w:val="00CC45D8"/>
    <w:rsid w:val="00D45F76"/>
    <w:rsid w:val="00EB401B"/>
    <w:rsid w:val="00ED7728"/>
    <w:rsid w:val="00FD12C5"/>
    <w:rsid w:val="00FE31AF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6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785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6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78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King, Melissa A.</cp:lastModifiedBy>
  <cp:revision>4</cp:revision>
  <dcterms:created xsi:type="dcterms:W3CDTF">2013-07-23T21:22:00Z</dcterms:created>
  <dcterms:modified xsi:type="dcterms:W3CDTF">2013-08-14T21:10:00Z</dcterms:modified>
</cp:coreProperties>
</file>