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F3B79" w14:textId="77777777" w:rsidR="000E4D24" w:rsidRPr="000E4D24" w:rsidRDefault="000E4D24" w:rsidP="000E4D24">
      <w:pPr>
        <w:widowControl w:val="0"/>
        <w:autoSpaceDE w:val="0"/>
        <w:autoSpaceDN w:val="0"/>
        <w:adjustRightInd w:val="0"/>
      </w:pPr>
    </w:p>
    <w:p w14:paraId="4E4DBA81" w14:textId="3659D077" w:rsidR="000E4D24" w:rsidRDefault="000E4D24" w:rsidP="000E4D24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150.50  Change of Ownership</w:t>
      </w:r>
    </w:p>
    <w:p w14:paraId="16F8B6BD" w14:textId="77777777" w:rsidR="000E4D24" w:rsidRPr="000E4D24" w:rsidRDefault="000E4D24" w:rsidP="000E4D24">
      <w:pPr>
        <w:widowControl w:val="0"/>
        <w:autoSpaceDE w:val="0"/>
        <w:autoSpaceDN w:val="0"/>
        <w:adjustRightInd w:val="0"/>
      </w:pPr>
    </w:p>
    <w:p w14:paraId="693473C0" w14:textId="0175C75A" w:rsidR="000174EB" w:rsidRPr="00093935" w:rsidRDefault="000E4D24" w:rsidP="000E4D24">
      <w:r>
        <w:t>When more than 50% of the assets, stock or equity of a collection agency are transferred, a new collection agency application shall be filed with the Division in accordance with Section 150.25.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E5C0F" w14:textId="77777777" w:rsidR="00F63012" w:rsidRDefault="00F63012">
      <w:r>
        <w:separator/>
      </w:r>
    </w:p>
  </w:endnote>
  <w:endnote w:type="continuationSeparator" w:id="0">
    <w:p w14:paraId="29ECE172" w14:textId="77777777" w:rsidR="00F63012" w:rsidRDefault="00F6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97846" w14:textId="77777777" w:rsidR="00F63012" w:rsidRDefault="00F63012">
      <w:r>
        <w:separator/>
      </w:r>
    </w:p>
  </w:footnote>
  <w:footnote w:type="continuationSeparator" w:id="0">
    <w:p w14:paraId="62C632A1" w14:textId="77777777" w:rsidR="00F63012" w:rsidRDefault="00F63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1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D24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47E1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3012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20A118"/>
  <w15:chartTrackingRefBased/>
  <w15:docId w15:val="{9223709B-EED1-439A-B628-63062F65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4D2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195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3</cp:revision>
  <dcterms:created xsi:type="dcterms:W3CDTF">2023-07-31T13:48:00Z</dcterms:created>
  <dcterms:modified xsi:type="dcterms:W3CDTF">2023-11-09T15:04:00Z</dcterms:modified>
</cp:coreProperties>
</file>