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1D6" w:rsidRPr="00D443F2" w:rsidRDefault="00AB11D6" w:rsidP="00D443F2"/>
    <w:p w:rsidR="00385BB2" w:rsidRPr="00D443F2" w:rsidRDefault="00385BB2" w:rsidP="00D443F2">
      <w:pPr>
        <w:rPr>
          <w:b/>
        </w:rPr>
      </w:pPr>
      <w:r w:rsidRPr="00D443F2">
        <w:rPr>
          <w:b/>
        </w:rPr>
        <w:t>Section 1501.100  Scope and Purpose</w:t>
      </w:r>
    </w:p>
    <w:p w:rsidR="00385BB2" w:rsidRPr="00D443F2" w:rsidRDefault="00385BB2" w:rsidP="00D443F2"/>
    <w:p w:rsidR="000174EB" w:rsidRPr="00D443F2" w:rsidRDefault="00385BB2" w:rsidP="00D443F2">
      <w:r w:rsidRPr="00D443F2">
        <w:t>The purpose of this Part is to provide rules for the Agency’s administration and implementation of the Drycleaner Environmental Response Trust Fund Act [415 ILCS 135].</w:t>
      </w:r>
      <w:bookmarkStart w:id="0" w:name="_GoBack"/>
      <w:bookmarkEnd w:id="0"/>
    </w:p>
    <w:sectPr w:rsidR="000174EB" w:rsidRPr="00D443F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BB2" w:rsidRDefault="00385BB2">
      <w:r>
        <w:separator/>
      </w:r>
    </w:p>
  </w:endnote>
  <w:endnote w:type="continuationSeparator" w:id="0">
    <w:p w:rsidR="00385BB2" w:rsidRDefault="0038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BB2" w:rsidRDefault="00385BB2">
      <w:r>
        <w:separator/>
      </w:r>
    </w:p>
  </w:footnote>
  <w:footnote w:type="continuationSeparator" w:id="0">
    <w:p w:rsidR="00385BB2" w:rsidRDefault="00385B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BB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85BB2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1D6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43F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9DAEE7-3E32-418E-B008-E35137B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6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175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3</cp:revision>
  <dcterms:created xsi:type="dcterms:W3CDTF">2022-03-04T21:37:00Z</dcterms:created>
  <dcterms:modified xsi:type="dcterms:W3CDTF">2022-03-04T22:26:00Z</dcterms:modified>
</cp:coreProperties>
</file>