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277" w:rsidRDefault="00C43277" w:rsidP="00C4327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3277" w:rsidRDefault="00C43277" w:rsidP="00C43277">
      <w:pPr>
        <w:widowControl w:val="0"/>
        <w:autoSpaceDE w:val="0"/>
        <w:autoSpaceDN w:val="0"/>
        <w:adjustRightInd w:val="0"/>
        <w:jc w:val="center"/>
      </w:pPr>
      <w:r>
        <w:t>SUBPART F:  DEDICATED SOURCE OF REVENUE, REPAYMENT AND DELINQUENCY</w:t>
      </w:r>
    </w:p>
    <w:sectPr w:rsidR="00C43277" w:rsidSect="00C4327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3277"/>
    <w:rsid w:val="002553C6"/>
    <w:rsid w:val="005C3366"/>
    <w:rsid w:val="00973623"/>
    <w:rsid w:val="00C43277"/>
    <w:rsid w:val="00F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DEDICATED SOURCE OF REVENUE, REPAYMENT AND DELINQUENCY</vt:lpstr>
    </vt:vector>
  </TitlesOfParts>
  <Company>General Assembly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DEDICATED SOURCE OF REVENUE, REPAYMENT AND DELINQUENCY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