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63" w:rsidRDefault="00122563" w:rsidP="00122563">
      <w:pPr>
        <w:widowControl w:val="0"/>
        <w:autoSpaceDE w:val="0"/>
        <w:autoSpaceDN w:val="0"/>
        <w:adjustRightInd w:val="0"/>
      </w:pPr>
      <w:bookmarkStart w:id="0" w:name="_GoBack"/>
      <w:bookmarkEnd w:id="0"/>
    </w:p>
    <w:p w:rsidR="00122563" w:rsidRDefault="00122563" w:rsidP="00122563">
      <w:pPr>
        <w:widowControl w:val="0"/>
        <w:autoSpaceDE w:val="0"/>
        <w:autoSpaceDN w:val="0"/>
        <w:adjustRightInd w:val="0"/>
      </w:pPr>
      <w:r>
        <w:rPr>
          <w:b/>
          <w:bCs/>
        </w:rPr>
        <w:t>Section 875.301  Project Termination by Grantee</w:t>
      </w:r>
      <w:r>
        <w:t xml:space="preserve"> </w:t>
      </w:r>
    </w:p>
    <w:p w:rsidR="00122563" w:rsidRDefault="00122563" w:rsidP="00122563">
      <w:pPr>
        <w:widowControl w:val="0"/>
        <w:autoSpaceDE w:val="0"/>
        <w:autoSpaceDN w:val="0"/>
        <w:adjustRightInd w:val="0"/>
      </w:pPr>
    </w:p>
    <w:p w:rsidR="00122563" w:rsidRDefault="00122563" w:rsidP="00122563">
      <w:pPr>
        <w:widowControl w:val="0"/>
        <w:autoSpaceDE w:val="0"/>
        <w:autoSpaceDN w:val="0"/>
        <w:adjustRightInd w:val="0"/>
      </w:pPr>
      <w:r>
        <w:t xml:space="preserve">The grantee may not terminate a project for which the grant has been awarded, except for good cause.  Good cause for termination shall include, but not be limited to:  realignment of programs, change in program requirements or priorities, lack of adequate funding, or advancements in the state of the art. If the Agency finds that there is good cause for termination of all or any portion of a project for which the grant has been awarded, it shall enter into a termination agreement or unilaterally terminate the grant, effective the date of termination of the project by the grantee.  If the Agency finds that the grantee has terminated the project without good cause, then the grant shall be annulled and all grant funds previously paid or owing to the grantee shall be returned to the State Solid Waste Management Fund as final settlement. </w:t>
      </w:r>
    </w:p>
    <w:sectPr w:rsidR="00122563" w:rsidSect="00122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563"/>
    <w:rsid w:val="00122563"/>
    <w:rsid w:val="005C3366"/>
    <w:rsid w:val="00941E8D"/>
    <w:rsid w:val="009F219D"/>
    <w:rsid w:val="00E0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