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99" w:rsidRDefault="004A2399" w:rsidP="004A23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2399" w:rsidRDefault="004A2399" w:rsidP="004A2399">
      <w:pPr>
        <w:widowControl w:val="0"/>
        <w:autoSpaceDE w:val="0"/>
        <w:autoSpaceDN w:val="0"/>
        <w:adjustRightInd w:val="0"/>
        <w:jc w:val="center"/>
      </w:pPr>
      <w:r>
        <w:t>SUBPART C:  REQUIREMENTS APPLICABLE TO SUBAGREEMENTS OF GRANTEE</w:t>
      </w:r>
    </w:p>
    <w:sectPr w:rsidR="004A2399" w:rsidSect="004A23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399"/>
    <w:rsid w:val="00033DCA"/>
    <w:rsid w:val="001A2A02"/>
    <w:rsid w:val="004A2399"/>
    <w:rsid w:val="005B3279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REQUIREMENTS APPLICABLE TO SUBAGREEMENTS OF GRANTEE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REQUIREMENTS APPLICABLE TO SUBAGREEMENTS OF GRANTEE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