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B59" w:rsidRPr="006E6B59" w:rsidRDefault="006E6B59" w:rsidP="006E6B59">
      <w:pPr>
        <w:overflowPunct w:val="0"/>
        <w:autoSpaceDE w:val="0"/>
        <w:autoSpaceDN w:val="0"/>
        <w:adjustRightInd w:val="0"/>
        <w:textAlignment w:val="baseline"/>
        <w:rPr>
          <w:rFonts w:eastAsia="Times New Roman"/>
          <w:bCs/>
          <w:szCs w:val="20"/>
        </w:rPr>
      </w:pPr>
    </w:p>
    <w:p w:rsidR="006E6B59" w:rsidRPr="004344CA" w:rsidRDefault="006E6B59" w:rsidP="006E6B59">
      <w:pPr>
        <w:overflowPunct w:val="0"/>
        <w:autoSpaceDE w:val="0"/>
        <w:autoSpaceDN w:val="0"/>
        <w:adjustRightInd w:val="0"/>
        <w:textAlignment w:val="baseline"/>
        <w:rPr>
          <w:rFonts w:eastAsia="Times New Roman"/>
          <w:szCs w:val="20"/>
        </w:rPr>
      </w:pPr>
      <w:r w:rsidRPr="004344CA">
        <w:rPr>
          <w:rFonts w:eastAsia="Times New Roman"/>
          <w:b/>
          <w:bCs/>
          <w:szCs w:val="20"/>
        </w:rPr>
        <w:t>Section 845.980  Surety Bond Guaranteeing Performance</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a)</w:t>
      </w:r>
      <w:r w:rsidRPr="004344CA">
        <w:rPr>
          <w:rFonts w:eastAsia="Times New Roman"/>
          <w:szCs w:val="20"/>
        </w:rPr>
        <w:tab/>
        <w:t xml:space="preserve">An owner or operator may satisfy the requirements of this Subpart by obtaining a surety bond </w:t>
      </w:r>
      <w:r w:rsidR="00CD6718">
        <w:rPr>
          <w:rFonts w:eastAsia="Times New Roman"/>
          <w:szCs w:val="20"/>
        </w:rPr>
        <w:t>that</w:t>
      </w:r>
      <w:r w:rsidRPr="004344CA">
        <w:rPr>
          <w:rFonts w:eastAsia="Times New Roman"/>
          <w:szCs w:val="20"/>
        </w:rPr>
        <w:t xml:space="preserve"> conforms to the requirements </w:t>
      </w:r>
      <w:r w:rsidR="00CD6718">
        <w:rPr>
          <w:rFonts w:eastAsia="Times New Roman"/>
          <w:szCs w:val="20"/>
        </w:rPr>
        <w:t xml:space="preserve">of this Section </w:t>
      </w:r>
      <w:r w:rsidRPr="004344CA">
        <w:rPr>
          <w:rFonts w:eastAsia="Times New Roman"/>
          <w:szCs w:val="20"/>
        </w:rPr>
        <w:t>and submitting the bond to the Agency.</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b)</w:t>
      </w:r>
      <w:r w:rsidRPr="004344CA">
        <w:rPr>
          <w:rFonts w:eastAsia="Times New Roman"/>
          <w:szCs w:val="20"/>
        </w:rPr>
        <w:tab/>
        <w:t xml:space="preserve">The surety company issuing the bond must, at a minimum, be among those listed as acceptable sureties on federal bonds in Circular 570 of the U.S. Department of the Treasury. </w:t>
      </w:r>
      <w:r w:rsidRPr="004344CA">
        <w:rPr>
          <w:rFonts w:eastAsia="Times New Roman"/>
        </w:rPr>
        <w:t>Circular 570 is available on the Internet from the following website: https://fiscal.treasury.gov/surety-bonds/circular-570.html</w:t>
      </w:r>
      <w:r w:rsidR="00CD6718">
        <w:rPr>
          <w:rFonts w:eastAsia="Times New Roman"/>
        </w:rPr>
        <w:t>.</w:t>
      </w:r>
      <w:r w:rsidRPr="004344CA">
        <w:rPr>
          <w:rFonts w:eastAsia="Times New Roman"/>
          <w:szCs w:val="20"/>
        </w:rPr>
        <w:t xml:space="preserve"> </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c)</w:t>
      </w:r>
      <w:r w:rsidRPr="004344CA">
        <w:rPr>
          <w:rFonts w:eastAsia="Times New Roman"/>
          <w:szCs w:val="20"/>
        </w:rPr>
        <w:tab/>
        <w:t>The surety bond must be on forms prescribed by the Agency.</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d)</w:t>
      </w:r>
      <w:r w:rsidRPr="004344CA">
        <w:rPr>
          <w:rFonts w:eastAsia="Times New Roman"/>
          <w:szCs w:val="20"/>
        </w:rPr>
        <w:tab/>
        <w:t>Any payments made under the bond will be placed in the Coal Combustion Residual Surface Impoundment Financial Assurance Fund within the State Treasury.</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e)</w:t>
      </w:r>
      <w:r w:rsidRPr="004344CA">
        <w:rPr>
          <w:rFonts w:eastAsia="Times New Roman"/>
          <w:szCs w:val="20"/>
        </w:rPr>
        <w:tab/>
        <w:t xml:space="preserve">Conditions </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The bond must guarantee that the owner or operator will:</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A)</w:t>
      </w:r>
      <w:r w:rsidRPr="004344CA">
        <w:rPr>
          <w:rFonts w:eastAsia="Times New Roman"/>
          <w:szCs w:val="20"/>
        </w:rPr>
        <w:tab/>
        <w:t>Provide closure and post-closure care in accordance with the approved closure and post-closure care plans and, if the bond is a corrective action bond, provide corrective action in accordance with this Part; and</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B)</w:t>
      </w:r>
      <w:r w:rsidRPr="004344CA">
        <w:rPr>
          <w:rFonts w:eastAsia="Times New Roman"/>
          <w:szCs w:val="20"/>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 xml:space="preserve">The surety will become liable on the bond obligation when, during the term of the bond, the owner or operator fails to perform as guaranteed by the bond. The owner or operator fails to perform when the owner or operator: </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A)</w:t>
      </w:r>
      <w:r w:rsidRPr="004344CA">
        <w:rPr>
          <w:rFonts w:eastAsia="Times New Roman"/>
          <w:szCs w:val="20"/>
        </w:rPr>
        <w:tab/>
        <w:t xml:space="preserve">Abandons the CCR surface impoundment; </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B)</w:t>
      </w:r>
      <w:r w:rsidRPr="004344CA">
        <w:rPr>
          <w:rFonts w:eastAsia="Times New Roman"/>
          <w:szCs w:val="20"/>
        </w:rPr>
        <w:tab/>
        <w:t xml:space="preserve">Is adjudicated bankrupt; </w:t>
      </w:r>
    </w:p>
    <w:p w:rsidR="00B9434C" w:rsidRDefault="00B9434C" w:rsidP="00B9434C">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C)</w:t>
      </w:r>
      <w:r w:rsidRPr="004344CA">
        <w:rPr>
          <w:rFonts w:eastAsia="Times New Roman"/>
          <w:szCs w:val="20"/>
        </w:rPr>
        <w:tab/>
        <w:t>Fails to initiate closure of the CCR surface impoundment or post-closure care or corrective action when ordered to do so by the Board under Title VIII of the Act</w:t>
      </w:r>
      <w:r w:rsidR="00CD6718">
        <w:rPr>
          <w:rFonts w:eastAsia="Times New Roman"/>
          <w:szCs w:val="20"/>
        </w:rPr>
        <w:t xml:space="preserve"> (Enforcement)</w:t>
      </w:r>
      <w:r w:rsidRPr="004344CA">
        <w:rPr>
          <w:rFonts w:eastAsia="Times New Roman"/>
          <w:szCs w:val="20"/>
        </w:rPr>
        <w:t xml:space="preserve">, or when ordered to do so by a court of competent jurisdiction; </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D)</w:t>
      </w:r>
      <w:r w:rsidRPr="004344CA">
        <w:rPr>
          <w:rFonts w:eastAsia="Times New Roman"/>
          <w:szCs w:val="20"/>
        </w:rPr>
        <w:tab/>
        <w:t>Notifies the Agency that it has initiated closure or corrective action, or initiates closure or corrective action, but fails to close the CCR surface impoundment or provide post-closure care or corrective action in accordance with the Agency-approved closure and post-closure care or corrective action plans;</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E)</w:t>
      </w:r>
      <w:r w:rsidRPr="004344CA">
        <w:rPr>
          <w:rFonts w:eastAsia="Times New Roman"/>
          <w:szCs w:val="20"/>
        </w:rPr>
        <w:tab/>
        <w:t xml:space="preserve">For a corrective action bond, fails to implement or complete corrective action at a CCR surface impoundment in accordance with Section 845.670; or </w:t>
      </w:r>
    </w:p>
    <w:p w:rsidR="006E6B59" w:rsidRPr="004344CA" w:rsidRDefault="006E6B59" w:rsidP="006E6B59">
      <w:pPr>
        <w:overflowPunct w:val="0"/>
        <w:autoSpaceDE w:val="0"/>
        <w:autoSpaceDN w:val="0"/>
        <w:adjustRightInd w:val="0"/>
        <w:textAlignment w:val="baseline"/>
        <w:rPr>
          <w:rFonts w:eastAsia="Times New Roman"/>
          <w:szCs w:val="20"/>
        </w:rPr>
      </w:pPr>
    </w:p>
    <w:p w:rsidR="00A3247B" w:rsidRDefault="006E6B59" w:rsidP="00A3247B">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F)</w:t>
      </w:r>
      <w:r w:rsidRPr="004344CA">
        <w:rPr>
          <w:rFonts w:eastAsia="Times New Roman"/>
          <w:szCs w:val="20"/>
        </w:rPr>
        <w:tab/>
      </w:r>
      <w:r w:rsidR="00A3247B" w:rsidRPr="004344CA">
        <w:rPr>
          <w:rFonts w:eastAsia="Times New Roman"/>
          <w:szCs w:val="20"/>
        </w:rPr>
        <w:t>Fails to</w:t>
      </w:r>
      <w:r w:rsidR="00A3247B">
        <w:rPr>
          <w:rFonts w:eastAsia="Times New Roman"/>
          <w:szCs w:val="20"/>
        </w:rPr>
        <w:t xml:space="preserve">, </w:t>
      </w:r>
      <w:r w:rsidR="00A3247B" w:rsidRPr="004344CA">
        <w:rPr>
          <w:rFonts w:eastAsia="Times New Roman"/>
          <w:szCs w:val="20"/>
        </w:rPr>
        <w:t>within 90 days after receipt by both the owner or operator and the Agency of a notice from the surety that the bond will not be renewed for another term</w:t>
      </w:r>
      <w:r w:rsidR="00A3247B">
        <w:rPr>
          <w:rFonts w:eastAsia="Times New Roman"/>
          <w:szCs w:val="20"/>
        </w:rPr>
        <w:t>:</w:t>
      </w:r>
    </w:p>
    <w:p w:rsidR="00A3247B" w:rsidRDefault="00A3247B" w:rsidP="00A3247B">
      <w:pPr>
        <w:overflowPunct w:val="0"/>
        <w:autoSpaceDE w:val="0"/>
        <w:autoSpaceDN w:val="0"/>
        <w:adjustRightInd w:val="0"/>
        <w:textAlignment w:val="baseline"/>
        <w:rPr>
          <w:rFonts w:eastAsia="Times New Roman"/>
          <w:szCs w:val="20"/>
        </w:rPr>
      </w:pPr>
    </w:p>
    <w:p w:rsidR="00A3247B" w:rsidRDefault="00A3247B" w:rsidP="00A3247B">
      <w:pPr>
        <w:overflowPunct w:val="0"/>
        <w:autoSpaceDE w:val="0"/>
        <w:autoSpaceDN w:val="0"/>
        <w:adjustRightInd w:val="0"/>
        <w:ind w:left="3600" w:hanging="720"/>
        <w:textAlignment w:val="baseline"/>
        <w:rPr>
          <w:rFonts w:eastAsia="Times New Roman"/>
          <w:szCs w:val="20"/>
        </w:rPr>
      </w:pPr>
      <w:r>
        <w:rPr>
          <w:rFonts w:eastAsia="Times New Roman"/>
          <w:szCs w:val="20"/>
        </w:rPr>
        <w:t>i)</w:t>
      </w:r>
      <w:r>
        <w:rPr>
          <w:rFonts w:eastAsia="Times New Roman"/>
          <w:szCs w:val="20"/>
        </w:rPr>
        <w:tab/>
      </w:r>
      <w:r w:rsidR="00B25F90">
        <w:rPr>
          <w:rFonts w:eastAsia="Times New Roman"/>
          <w:szCs w:val="20"/>
        </w:rPr>
        <w:t>P</w:t>
      </w:r>
      <w:r w:rsidRPr="004344CA">
        <w:rPr>
          <w:rFonts w:eastAsia="Times New Roman"/>
          <w:szCs w:val="20"/>
        </w:rPr>
        <w:t>rovide alternative financial assurance, as specified in this Subpart</w:t>
      </w:r>
      <w:r w:rsidR="00B25F90">
        <w:rPr>
          <w:rFonts w:eastAsia="Times New Roman"/>
          <w:szCs w:val="20"/>
        </w:rPr>
        <w:t>;</w:t>
      </w:r>
      <w:r w:rsidRPr="004344CA">
        <w:rPr>
          <w:rFonts w:eastAsia="Times New Roman"/>
          <w:szCs w:val="20"/>
        </w:rPr>
        <w:t xml:space="preserve"> and </w:t>
      </w:r>
    </w:p>
    <w:p w:rsidR="00A3247B" w:rsidRDefault="00A3247B" w:rsidP="00A3247B">
      <w:pPr>
        <w:overflowPunct w:val="0"/>
        <w:autoSpaceDE w:val="0"/>
        <w:autoSpaceDN w:val="0"/>
        <w:adjustRightInd w:val="0"/>
        <w:textAlignment w:val="baseline"/>
        <w:rPr>
          <w:rFonts w:eastAsia="Times New Roman"/>
          <w:szCs w:val="20"/>
        </w:rPr>
      </w:pPr>
    </w:p>
    <w:p w:rsidR="006E6B59" w:rsidRPr="004344CA" w:rsidRDefault="00A3247B" w:rsidP="00A3247B">
      <w:pPr>
        <w:overflowPunct w:val="0"/>
        <w:autoSpaceDE w:val="0"/>
        <w:autoSpaceDN w:val="0"/>
        <w:adjustRightInd w:val="0"/>
        <w:ind w:left="3600" w:hanging="720"/>
        <w:textAlignment w:val="baseline"/>
        <w:rPr>
          <w:rFonts w:eastAsia="Times New Roman"/>
          <w:szCs w:val="20"/>
        </w:rPr>
      </w:pPr>
      <w:r>
        <w:rPr>
          <w:rFonts w:eastAsia="Times New Roman"/>
          <w:szCs w:val="20"/>
        </w:rPr>
        <w:t>ii)</w:t>
      </w:r>
      <w:r>
        <w:rPr>
          <w:rFonts w:eastAsia="Times New Roman"/>
          <w:szCs w:val="20"/>
        </w:rPr>
        <w:tab/>
      </w:r>
      <w:r w:rsidR="00B25F90">
        <w:rPr>
          <w:rFonts w:eastAsia="Times New Roman"/>
          <w:szCs w:val="20"/>
        </w:rPr>
        <w:t>O</w:t>
      </w:r>
      <w:r w:rsidRPr="004344CA">
        <w:rPr>
          <w:rFonts w:eastAsia="Times New Roman"/>
          <w:szCs w:val="20"/>
        </w:rPr>
        <w:t>btain the Agency's written approval of the assurance.</w:t>
      </w:r>
    </w:p>
    <w:p w:rsidR="006E6B59" w:rsidRPr="004344CA" w:rsidRDefault="006E6B59" w:rsidP="006E6B59">
      <w:pPr>
        <w:suppressAutoHyphens/>
        <w:overflowPunct w:val="0"/>
        <w:autoSpaceDE w:val="0"/>
        <w:autoSpaceDN w:val="0"/>
        <w:adjustRightInd w:val="0"/>
        <w:textAlignment w:val="baseline"/>
        <w:rPr>
          <w:rFonts w:eastAsia="Times New Roman"/>
          <w:szCs w:val="20"/>
        </w:rPr>
      </w:pPr>
    </w:p>
    <w:p w:rsidR="006E6B59" w:rsidRPr="004344CA" w:rsidRDefault="006E6B59" w:rsidP="006E6B59">
      <w:pPr>
        <w:suppressAutoHyphens/>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Upon failure of the owner or operator to perform as guaranteed by the bond, the surety must have the option of:</w:t>
      </w:r>
    </w:p>
    <w:p w:rsidR="006E6B59" w:rsidRPr="004344CA" w:rsidRDefault="006E6B59" w:rsidP="006E6B59">
      <w:pPr>
        <w:suppressAutoHyphens/>
        <w:overflowPunct w:val="0"/>
        <w:autoSpaceDE w:val="0"/>
        <w:autoSpaceDN w:val="0"/>
        <w:adjustRightInd w:val="0"/>
        <w:textAlignment w:val="baseline"/>
        <w:rPr>
          <w:rFonts w:eastAsia="Times New Roman"/>
          <w:szCs w:val="20"/>
        </w:rPr>
      </w:pPr>
    </w:p>
    <w:p w:rsidR="006E6B59" w:rsidRPr="004344CA" w:rsidRDefault="006E6B59" w:rsidP="006E6B59">
      <w:pPr>
        <w:suppressAutoHyphens/>
        <w:overflowPunct w:val="0"/>
        <w:autoSpaceDE w:val="0"/>
        <w:autoSpaceDN w:val="0"/>
        <w:adjustRightInd w:val="0"/>
        <w:ind w:left="2880" w:hanging="720"/>
        <w:textAlignment w:val="baseline"/>
        <w:rPr>
          <w:rFonts w:eastAsia="Times New Roman"/>
          <w:szCs w:val="20"/>
        </w:rPr>
      </w:pPr>
      <w:r w:rsidRPr="004344CA">
        <w:rPr>
          <w:rFonts w:eastAsia="Times New Roman"/>
          <w:szCs w:val="20"/>
        </w:rPr>
        <w:t>A)</w:t>
      </w:r>
      <w:r w:rsidRPr="004344CA">
        <w:rPr>
          <w:rFonts w:eastAsia="Times New Roman"/>
          <w:szCs w:val="20"/>
        </w:rPr>
        <w:tab/>
        <w:t xml:space="preserve">providing closure and post-closure care in accordance with the approved closure and post-closure care plans; </w:t>
      </w:r>
    </w:p>
    <w:p w:rsidR="006E6B59" w:rsidRPr="004344CA" w:rsidRDefault="006E6B59" w:rsidP="006E6B59">
      <w:pPr>
        <w:suppressAutoHyphens/>
        <w:overflowPunct w:val="0"/>
        <w:autoSpaceDE w:val="0"/>
        <w:autoSpaceDN w:val="0"/>
        <w:adjustRightInd w:val="0"/>
        <w:textAlignment w:val="baseline"/>
        <w:rPr>
          <w:rFonts w:eastAsia="Times New Roman"/>
          <w:szCs w:val="20"/>
        </w:rPr>
      </w:pPr>
    </w:p>
    <w:p w:rsidR="006E6B59" w:rsidRPr="004344CA" w:rsidRDefault="006E6B59" w:rsidP="006E6B59">
      <w:pPr>
        <w:suppressAutoHyphens/>
        <w:overflowPunct w:val="0"/>
        <w:autoSpaceDE w:val="0"/>
        <w:autoSpaceDN w:val="0"/>
        <w:adjustRightInd w:val="0"/>
        <w:ind w:left="2880" w:hanging="720"/>
        <w:textAlignment w:val="baseline"/>
        <w:rPr>
          <w:rFonts w:eastAsia="Times New Roman"/>
          <w:szCs w:val="20"/>
        </w:rPr>
      </w:pPr>
      <w:r w:rsidRPr="004344CA">
        <w:rPr>
          <w:rFonts w:eastAsia="Times New Roman"/>
          <w:szCs w:val="20"/>
        </w:rPr>
        <w:t>B)</w:t>
      </w:r>
      <w:r w:rsidRPr="004344CA">
        <w:rPr>
          <w:rFonts w:eastAsia="Times New Roman"/>
          <w:szCs w:val="20"/>
        </w:rPr>
        <w:tab/>
        <w:t xml:space="preserve">carrying out corrective action in accordance with the corrective action plan; or </w:t>
      </w:r>
    </w:p>
    <w:p w:rsidR="006E6B59" w:rsidRPr="004344CA" w:rsidRDefault="006E6B59" w:rsidP="006E6B59">
      <w:pPr>
        <w:suppressAutoHyphens/>
        <w:overflowPunct w:val="0"/>
        <w:autoSpaceDE w:val="0"/>
        <w:autoSpaceDN w:val="0"/>
        <w:adjustRightInd w:val="0"/>
        <w:textAlignment w:val="baseline"/>
        <w:rPr>
          <w:rFonts w:eastAsia="Times New Roman"/>
          <w:szCs w:val="20"/>
        </w:rPr>
      </w:pPr>
    </w:p>
    <w:p w:rsidR="006E6B59" w:rsidRPr="004344CA" w:rsidRDefault="006E6B59" w:rsidP="006E6B59">
      <w:pPr>
        <w:suppressAutoHyphens/>
        <w:overflowPunct w:val="0"/>
        <w:autoSpaceDE w:val="0"/>
        <w:autoSpaceDN w:val="0"/>
        <w:adjustRightInd w:val="0"/>
        <w:ind w:left="2880" w:hanging="720"/>
        <w:textAlignment w:val="baseline"/>
        <w:rPr>
          <w:rFonts w:eastAsia="Times New Roman"/>
          <w:szCs w:val="20"/>
        </w:rPr>
      </w:pPr>
      <w:r w:rsidRPr="004344CA">
        <w:rPr>
          <w:rFonts w:eastAsia="Times New Roman"/>
          <w:szCs w:val="20"/>
        </w:rPr>
        <w:t>C)</w:t>
      </w:r>
      <w:r w:rsidRPr="004344CA">
        <w:rPr>
          <w:rFonts w:eastAsia="Times New Roman"/>
          <w:szCs w:val="20"/>
        </w:rPr>
        <w:tab/>
        <w:t>paying the penal sum.</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CD6718" w:rsidP="006E6B59">
      <w:pPr>
        <w:overflowPunct w:val="0"/>
        <w:autoSpaceDE w:val="0"/>
        <w:autoSpaceDN w:val="0"/>
        <w:adjustRightInd w:val="0"/>
        <w:ind w:left="1440" w:hanging="720"/>
        <w:textAlignment w:val="baseline"/>
        <w:rPr>
          <w:rFonts w:eastAsia="Times New Roman"/>
          <w:szCs w:val="20"/>
        </w:rPr>
      </w:pPr>
      <w:r>
        <w:rPr>
          <w:rFonts w:eastAsia="Times New Roman"/>
          <w:szCs w:val="20"/>
        </w:rPr>
        <w:t>f)</w:t>
      </w:r>
      <w:r>
        <w:rPr>
          <w:rFonts w:eastAsia="Times New Roman"/>
          <w:szCs w:val="20"/>
        </w:rPr>
        <w:tab/>
        <w:t>Penal Sum</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The penal sum of the bond must be in an amount at least equal to the current cost estimate.</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Whenever the current cost estimate decreases, the penal sum may be reduced to the amount of the current cost estimate following written approval by the Agency.</w:t>
      </w:r>
    </w:p>
    <w:p w:rsidR="00B9434C" w:rsidRDefault="00B9434C" w:rsidP="00B9434C">
      <w:pPr>
        <w:suppressAutoHyphens/>
        <w:overflowPunct w:val="0"/>
        <w:autoSpaceDE w:val="0"/>
        <w:autoSpaceDN w:val="0"/>
        <w:adjustRightInd w:val="0"/>
        <w:textAlignment w:val="baseline"/>
        <w:rPr>
          <w:rFonts w:eastAsia="Times New Roman"/>
          <w:szCs w:val="20"/>
        </w:rPr>
      </w:pPr>
    </w:p>
    <w:p w:rsidR="006E6B59" w:rsidRPr="004344CA" w:rsidRDefault="006E6B59" w:rsidP="006E6B59">
      <w:pPr>
        <w:suppressAutoHyphens/>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Whenever the current cost estimate increases to an amount greater than the penal sum, the owner or operator, within 90 days after the increase, must either cause the penal sum to be increased to an amount at least equal to the current cost estimate and submit evidence of that increase to the Agency or obtain other financial assurance, as specified in this Subpart, and submit evidence of the alternative financial assurance to the Agency.</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CD6718" w:rsidP="006E6B59">
      <w:pPr>
        <w:overflowPunct w:val="0"/>
        <w:autoSpaceDE w:val="0"/>
        <w:autoSpaceDN w:val="0"/>
        <w:adjustRightInd w:val="0"/>
        <w:ind w:left="1440" w:hanging="720"/>
        <w:textAlignment w:val="baseline"/>
        <w:rPr>
          <w:rFonts w:eastAsia="Times New Roman"/>
          <w:szCs w:val="20"/>
        </w:rPr>
      </w:pPr>
      <w:r>
        <w:rPr>
          <w:rFonts w:eastAsia="Times New Roman"/>
          <w:szCs w:val="20"/>
        </w:rPr>
        <w:t>g)</w:t>
      </w:r>
      <w:r>
        <w:rPr>
          <w:rFonts w:eastAsia="Times New Roman"/>
          <w:szCs w:val="20"/>
        </w:rPr>
        <w:tab/>
        <w:t>Term</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The bond must be issued for a term of at least one year and must not be cancelable during that term.</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rsidR="006E6B59" w:rsidRDefault="006E6B59" w:rsidP="00B9434C">
      <w:pPr>
        <w:suppressAutoHyphens/>
        <w:overflowPunct w:val="0"/>
        <w:autoSpaceDE w:val="0"/>
        <w:autoSpaceDN w:val="0"/>
        <w:adjustRightInd w:val="0"/>
        <w:textAlignment w:val="baseline"/>
        <w:rPr>
          <w:rFonts w:eastAsia="Times New Roman"/>
          <w:szCs w:val="20"/>
        </w:rPr>
      </w:pPr>
    </w:p>
    <w:p w:rsidR="006E6B59" w:rsidRPr="004344CA" w:rsidRDefault="006E6B59" w:rsidP="006E6B59">
      <w:pPr>
        <w:suppressAutoHyphens/>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The Agency must release the surety by providing written authorization for termination of the bond to the owner or operator and the surety when either of the following occurs:</w:t>
      </w:r>
    </w:p>
    <w:p w:rsidR="006E6B59" w:rsidRPr="004344CA" w:rsidRDefault="006E6B59" w:rsidP="006E6B59">
      <w:pPr>
        <w:suppressAutoHyphens/>
        <w:overflowPunct w:val="0"/>
        <w:autoSpaceDE w:val="0"/>
        <w:autoSpaceDN w:val="0"/>
        <w:adjustRightInd w:val="0"/>
        <w:textAlignment w:val="baseline"/>
        <w:rPr>
          <w:rFonts w:eastAsia="Times New Roman"/>
          <w:szCs w:val="20"/>
        </w:rPr>
      </w:pPr>
    </w:p>
    <w:p w:rsidR="006E6B59" w:rsidRPr="004344CA" w:rsidRDefault="006E6B59" w:rsidP="006E6B59">
      <w:pPr>
        <w:suppressAutoHyphens/>
        <w:overflowPunct w:val="0"/>
        <w:autoSpaceDE w:val="0"/>
        <w:autoSpaceDN w:val="0"/>
        <w:adjustRightInd w:val="0"/>
        <w:ind w:left="2880" w:hanging="720"/>
        <w:textAlignment w:val="baseline"/>
        <w:rPr>
          <w:rFonts w:eastAsia="Times New Roman"/>
          <w:szCs w:val="20"/>
        </w:rPr>
      </w:pPr>
      <w:r w:rsidRPr="004344CA">
        <w:rPr>
          <w:rFonts w:eastAsia="Times New Roman"/>
          <w:szCs w:val="20"/>
        </w:rPr>
        <w:t>A)</w:t>
      </w:r>
      <w:r w:rsidRPr="004344CA">
        <w:rPr>
          <w:rFonts w:eastAsia="Times New Roman"/>
          <w:szCs w:val="20"/>
        </w:rPr>
        <w:tab/>
        <w:t>An owner or operator substitutes alternative financial assurance, as specified in this Subpart; or</w:t>
      </w:r>
    </w:p>
    <w:p w:rsidR="006E6B59" w:rsidRPr="004344CA" w:rsidRDefault="006E6B59" w:rsidP="006E6B59">
      <w:pPr>
        <w:suppressAutoHyphens/>
        <w:overflowPunct w:val="0"/>
        <w:autoSpaceDE w:val="0"/>
        <w:autoSpaceDN w:val="0"/>
        <w:adjustRightInd w:val="0"/>
        <w:textAlignment w:val="baseline"/>
        <w:rPr>
          <w:rFonts w:eastAsia="Times New Roman"/>
          <w:szCs w:val="20"/>
        </w:rPr>
      </w:pPr>
    </w:p>
    <w:p w:rsidR="006E6B59" w:rsidRPr="004344CA" w:rsidRDefault="006E6B59" w:rsidP="006E6B59">
      <w:pPr>
        <w:suppressAutoHyphens/>
        <w:overflowPunct w:val="0"/>
        <w:autoSpaceDE w:val="0"/>
        <w:autoSpaceDN w:val="0"/>
        <w:adjustRightInd w:val="0"/>
        <w:ind w:left="2880" w:hanging="720"/>
        <w:textAlignment w:val="baseline"/>
        <w:rPr>
          <w:rFonts w:eastAsia="Times New Roman"/>
          <w:szCs w:val="20"/>
        </w:rPr>
      </w:pPr>
      <w:r w:rsidRPr="004344CA">
        <w:rPr>
          <w:rFonts w:eastAsia="Times New Roman"/>
          <w:szCs w:val="20"/>
        </w:rPr>
        <w:t>B)</w:t>
      </w:r>
      <w:r w:rsidRPr="004344CA">
        <w:rPr>
          <w:rFonts w:eastAsia="Times New Roman"/>
          <w:szCs w:val="20"/>
        </w:rPr>
        <w:tab/>
        <w:t>The Agency releases the owner or operator from the requirements of this Subpart in accordance with Section 845.920(b).</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h)</w:t>
      </w:r>
      <w:r w:rsidRPr="004344CA">
        <w:rPr>
          <w:rFonts w:eastAsia="Times New Roman"/>
          <w:szCs w:val="20"/>
        </w:rPr>
        <w:tab/>
        <w:t xml:space="preserve">Cure of </w:t>
      </w:r>
      <w:r w:rsidR="00CD6718">
        <w:rPr>
          <w:rFonts w:eastAsia="Times New Roman"/>
          <w:szCs w:val="20"/>
        </w:rPr>
        <w:t>D</w:t>
      </w:r>
      <w:r w:rsidRPr="004344CA">
        <w:rPr>
          <w:rFonts w:eastAsia="Times New Roman"/>
          <w:szCs w:val="20"/>
        </w:rPr>
        <w:t xml:space="preserve">efault and </w:t>
      </w:r>
      <w:r w:rsidR="00CD6718">
        <w:rPr>
          <w:rFonts w:eastAsia="Times New Roman"/>
          <w:szCs w:val="20"/>
        </w:rPr>
        <w:t>Refunds</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The Agency must release the surety if, after the surety becomes liable on the bond, the owner or operator or another person provides financial assurance for closure and post-closure care of the CCR surface impoundment or corrective action at a CCR surface impoundment; unless the Agency determines that the closure, post-closure care, or corrective action plan, or the amount of substituted financial assurance, is inadequate to provide closure and post-closure care or implement corrective action in compliance with this Part.</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 xml:space="preserve">After closure and post-closure care have been completed in accordance with the plans and requirements </w:t>
      </w:r>
      <w:r w:rsidR="00FE2A8B">
        <w:rPr>
          <w:rFonts w:eastAsia="Times New Roman"/>
          <w:szCs w:val="20"/>
        </w:rPr>
        <w:t xml:space="preserve">of this Part </w:t>
      </w:r>
      <w:bookmarkStart w:id="0" w:name="_GoBack"/>
      <w:bookmarkEnd w:id="0"/>
      <w:r w:rsidRPr="004344CA">
        <w:rPr>
          <w:rFonts w:eastAsia="Times New Roman"/>
          <w:szCs w:val="20"/>
        </w:rPr>
        <w:t xml:space="preserve">or after the completion of corrective action at a CCR surface impoundment in accordance with this Part, the Agency must refund any unspent money </w:t>
      </w:r>
      <w:r w:rsidR="00CD6718">
        <w:rPr>
          <w:rFonts w:eastAsia="Times New Roman"/>
          <w:szCs w:val="20"/>
        </w:rPr>
        <w:t>that</w:t>
      </w:r>
      <w:r w:rsidRPr="004344CA">
        <w:rPr>
          <w:rFonts w:eastAsia="Times New Roman"/>
          <w:szCs w:val="20"/>
        </w:rPr>
        <w:t xml:space="preserve"> was paid into the Coal Combustion Residual Surface Impoundment Financial Assurance Fund by the surety, subject to appropriation of funds by the Illinois General Assembly.</w:t>
      </w:r>
    </w:p>
    <w:p w:rsidR="006E6B59" w:rsidRPr="004344CA" w:rsidRDefault="006E6B59" w:rsidP="006E6B59">
      <w:pPr>
        <w:overflowPunct w:val="0"/>
        <w:autoSpaceDE w:val="0"/>
        <w:autoSpaceDN w:val="0"/>
        <w:adjustRightInd w:val="0"/>
        <w:textAlignment w:val="baseline"/>
        <w:rPr>
          <w:rFonts w:eastAsia="Times New Roman"/>
          <w:szCs w:val="20"/>
        </w:rPr>
      </w:pPr>
    </w:p>
    <w:p w:rsidR="006E6B59" w:rsidRPr="004344CA" w:rsidRDefault="006E6B59" w:rsidP="006E6B59">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lastRenderedPageBreak/>
        <w:t>i)</w:t>
      </w:r>
      <w:r w:rsidRPr="004344CA">
        <w:rPr>
          <w:rFonts w:eastAsia="Times New Roman"/>
          <w:szCs w:val="20"/>
        </w:rPr>
        <w:tab/>
        <w:t>The surety will not be liable for deficiencies in the performance of closure, post-closure care, or corrective action by the owner or operator after the Agency releases the owner or operator from the requirements of this Subpart.</w:t>
      </w:r>
    </w:p>
    <w:sectPr w:rsidR="006E6B59"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F18" w:rsidRDefault="00672F18">
      <w:r>
        <w:separator/>
      </w:r>
    </w:p>
  </w:endnote>
  <w:endnote w:type="continuationSeparator" w:id="0">
    <w:p w:rsidR="00672F18" w:rsidRDefault="006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F18" w:rsidRDefault="00672F18">
      <w:r>
        <w:separator/>
      </w:r>
    </w:p>
  </w:footnote>
  <w:footnote w:type="continuationSeparator" w:id="0">
    <w:p w:rsidR="00672F18" w:rsidRDefault="00672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2F18"/>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B59"/>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47B"/>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5F90"/>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34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718"/>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A8B"/>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FAB40-0303-461F-A523-66C2264A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B59"/>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996</Words>
  <Characters>5062</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9</cp:revision>
  <dcterms:created xsi:type="dcterms:W3CDTF">2020-04-21T14:09:00Z</dcterms:created>
  <dcterms:modified xsi:type="dcterms:W3CDTF">2021-03-25T21:16:00Z</dcterms:modified>
</cp:coreProperties>
</file>