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AC" w:rsidRPr="004344CA" w:rsidRDefault="00B373AC" w:rsidP="00B373A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B373AC" w:rsidRPr="004344CA" w:rsidRDefault="00B373AC" w:rsidP="00B373A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b/>
          <w:szCs w:val="20"/>
        </w:rPr>
        <w:t>Section 845.910  Upgrading Financial Assurance</w:t>
      </w:r>
    </w:p>
    <w:p w:rsidR="00B373AC" w:rsidRPr="004344CA" w:rsidRDefault="00B373AC" w:rsidP="00B373A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B373AC" w:rsidRPr="004344CA" w:rsidRDefault="00B373AC" w:rsidP="00B373AC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a)</w:t>
      </w:r>
      <w:r w:rsidRPr="004344CA">
        <w:rPr>
          <w:rFonts w:eastAsia="Times New Roman"/>
          <w:szCs w:val="20"/>
        </w:rPr>
        <w:tab/>
        <w:t>The owner or operator must increase the total amount of financial assurance to equal or exceed the current cost estimate within 60 days after either of the following occurrences:</w:t>
      </w:r>
    </w:p>
    <w:p w:rsidR="00B373AC" w:rsidRPr="004344CA" w:rsidRDefault="00B373AC" w:rsidP="00B373A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B373AC" w:rsidRPr="004344CA" w:rsidRDefault="00B373AC" w:rsidP="00B373AC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1)</w:t>
      </w:r>
      <w:r w:rsidRPr="004344CA">
        <w:rPr>
          <w:rFonts w:eastAsia="Times New Roman"/>
          <w:szCs w:val="20"/>
        </w:rPr>
        <w:tab/>
        <w:t>An increase in the current cost estimate; or</w:t>
      </w:r>
    </w:p>
    <w:p w:rsidR="00B373AC" w:rsidRPr="004344CA" w:rsidRDefault="00B373AC" w:rsidP="00B373A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B373AC" w:rsidRPr="004344CA" w:rsidRDefault="00B373AC" w:rsidP="00B373AC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2)</w:t>
      </w:r>
      <w:r w:rsidRPr="004344CA">
        <w:rPr>
          <w:rFonts w:eastAsia="Times New Roman"/>
          <w:szCs w:val="20"/>
        </w:rPr>
        <w:tab/>
        <w:t>A decrease in the value of a trust fund.</w:t>
      </w:r>
    </w:p>
    <w:p w:rsidR="00B373AC" w:rsidRPr="004344CA" w:rsidRDefault="00B373AC" w:rsidP="00B373A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B373AC" w:rsidRPr="004344CA" w:rsidRDefault="00B373AC" w:rsidP="00B373AC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b)</w:t>
      </w:r>
      <w:r w:rsidRPr="004344CA">
        <w:rPr>
          <w:rFonts w:eastAsia="Times New Roman"/>
          <w:szCs w:val="20"/>
        </w:rPr>
        <w:tab/>
        <w:t>The owner or operator of a CCR surface impoundment must make annual adjustments for inflation if required under Section</w:t>
      </w:r>
      <w:bookmarkStart w:id="0" w:name="_GoBack"/>
      <w:bookmarkEnd w:id="0"/>
      <w:r w:rsidRPr="004344CA">
        <w:rPr>
          <w:rFonts w:eastAsia="Times New Roman"/>
          <w:szCs w:val="20"/>
        </w:rPr>
        <w:t xml:space="preserve"> 845.930 or 845.940.</w:t>
      </w:r>
    </w:p>
    <w:sectPr w:rsidR="00B373AC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2E" w:rsidRDefault="00DF512E">
      <w:r>
        <w:separator/>
      </w:r>
    </w:p>
  </w:endnote>
  <w:endnote w:type="continuationSeparator" w:id="0">
    <w:p w:rsidR="00DF512E" w:rsidRDefault="00DF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2E" w:rsidRDefault="00DF512E">
      <w:r>
        <w:separator/>
      </w:r>
    </w:p>
  </w:footnote>
  <w:footnote w:type="continuationSeparator" w:id="0">
    <w:p w:rsidR="00DF512E" w:rsidRDefault="00DF5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F8D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3AC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12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CCA9C-1E2E-42A8-840E-7063E490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3AC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392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2020-04-21T14:09:00Z</dcterms:created>
  <dcterms:modified xsi:type="dcterms:W3CDTF">2020-04-22T20:59:00Z</dcterms:modified>
</cp:coreProperties>
</file>