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CF" w:rsidRPr="00ED1DCF" w:rsidRDefault="00ED1DCF" w:rsidP="007E18D2">
      <w:pPr>
        <w:rPr>
          <w:rFonts w:eastAsiaTheme="minorEastAsia"/>
        </w:rPr>
      </w:pPr>
      <w:bookmarkStart w:id="0" w:name="_Hlk15628692"/>
    </w:p>
    <w:p w:rsidR="007E18D2" w:rsidRPr="004344CA" w:rsidRDefault="007E18D2" w:rsidP="007E18D2">
      <w:pPr>
        <w:rPr>
          <w:rFonts w:eastAsiaTheme="minorEastAsia"/>
        </w:rPr>
      </w:pPr>
      <w:r w:rsidRPr="004344CA">
        <w:rPr>
          <w:rFonts w:eastAsiaTheme="minorEastAsia"/>
          <w:b/>
        </w:rPr>
        <w:t>Section 845.600  Groundwater Protection Standards</w:t>
      </w:r>
    </w:p>
    <w:bookmarkEnd w:id="0"/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1440" w:hanging="720"/>
        <w:rPr>
          <w:rFonts w:eastAsiaTheme="minorEastAsia"/>
        </w:rPr>
      </w:pPr>
      <w:bookmarkStart w:id="1" w:name="_Hlk24100327"/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>For existing CCR surface impoundments and for inactive CCR surface impoundments</w:t>
      </w:r>
      <w:r w:rsidR="00961FE5">
        <w:rPr>
          <w:rFonts w:eastAsiaTheme="minorEastAsia"/>
        </w:rPr>
        <w:t>: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1440"/>
        <w:rPr>
          <w:rFonts w:eastAsiaTheme="minorEastAsia"/>
        </w:rPr>
      </w:pPr>
      <w:r w:rsidRPr="004344CA">
        <w:rPr>
          <w:rFonts w:eastAsiaTheme="minorEastAsia"/>
        </w:rPr>
        <w:t>1)</w:t>
      </w:r>
      <w:r w:rsidRPr="004344CA">
        <w:rPr>
          <w:rFonts w:eastAsiaTheme="minorEastAsia"/>
        </w:rPr>
        <w:tab/>
        <w:t>The groundwater protection standards at the waste boundary must be: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>Antimony: 0.006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  <w:t>Arsenic: 0.010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  <w:t>Barium: 2.0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D)</w:t>
      </w:r>
      <w:r w:rsidRPr="004344CA">
        <w:rPr>
          <w:rFonts w:eastAsiaTheme="minorEastAsia"/>
        </w:rPr>
        <w:tab/>
        <w:t>Beryllium: 0.004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E)</w:t>
      </w:r>
      <w:r w:rsidRPr="004344CA">
        <w:rPr>
          <w:rFonts w:eastAsiaTheme="minorEastAsia"/>
        </w:rPr>
        <w:tab/>
        <w:t>Boron: 2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F)</w:t>
      </w:r>
      <w:r w:rsidRPr="004344CA">
        <w:rPr>
          <w:rFonts w:eastAsiaTheme="minorEastAsia"/>
        </w:rPr>
        <w:tab/>
        <w:t>Cadmium: 0.005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G)</w:t>
      </w:r>
      <w:r w:rsidRPr="004344CA">
        <w:rPr>
          <w:rFonts w:eastAsiaTheme="minorEastAsia"/>
        </w:rPr>
        <w:tab/>
        <w:t>Chloride: 200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H)</w:t>
      </w:r>
      <w:r w:rsidRPr="004344CA">
        <w:rPr>
          <w:rFonts w:eastAsiaTheme="minorEastAsia"/>
        </w:rPr>
        <w:tab/>
        <w:t>Chromium: 0.1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I)</w:t>
      </w:r>
      <w:r w:rsidRPr="004344CA">
        <w:rPr>
          <w:rFonts w:eastAsiaTheme="minorEastAsia"/>
        </w:rPr>
        <w:tab/>
        <w:t>Cobalt:</w:t>
      </w:r>
      <w:r w:rsidRPr="004344CA">
        <w:rPr>
          <w:rFonts w:eastAsiaTheme="minorEastAsia"/>
        </w:rPr>
        <w:tab/>
        <w:t xml:space="preserve"> 0.006 mg/L</w:t>
      </w:r>
    </w:p>
    <w:p w:rsidR="007E18D2" w:rsidRDefault="007E18D2" w:rsidP="00ED1DCF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J)</w:t>
      </w:r>
      <w:r w:rsidRPr="004344CA">
        <w:rPr>
          <w:rFonts w:eastAsiaTheme="minorEastAsia"/>
        </w:rPr>
        <w:tab/>
        <w:t>Fluoride: 4.0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K)</w:t>
      </w:r>
      <w:r w:rsidRPr="004344CA">
        <w:rPr>
          <w:rFonts w:eastAsiaTheme="minorEastAsia"/>
        </w:rPr>
        <w:tab/>
        <w:t>Lead: 0.0075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L)</w:t>
      </w:r>
      <w:r w:rsidRPr="004344CA">
        <w:rPr>
          <w:rFonts w:eastAsiaTheme="minorEastAsia"/>
        </w:rPr>
        <w:tab/>
        <w:t>Lithium: 0.04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M)</w:t>
      </w:r>
      <w:r w:rsidRPr="004344CA">
        <w:rPr>
          <w:rFonts w:eastAsiaTheme="minorEastAsia"/>
        </w:rPr>
        <w:tab/>
        <w:t>Mercury: 0.002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N)</w:t>
      </w:r>
      <w:r w:rsidRPr="004344CA">
        <w:rPr>
          <w:rFonts w:eastAsiaTheme="minorEastAsia"/>
        </w:rPr>
        <w:tab/>
        <w:t>Molybdenum: 0.1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O)</w:t>
      </w:r>
      <w:r w:rsidRPr="004344CA">
        <w:rPr>
          <w:rFonts w:eastAsiaTheme="minorEastAsia"/>
        </w:rPr>
        <w:tab/>
        <w:t>pH: 6.5-9.0 units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P)</w:t>
      </w:r>
      <w:r w:rsidRPr="004344CA">
        <w:rPr>
          <w:rFonts w:eastAsiaTheme="minorEastAsia"/>
        </w:rPr>
        <w:tab/>
        <w:t>Selenium: 0.05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Q)</w:t>
      </w:r>
      <w:r w:rsidRPr="004344CA">
        <w:rPr>
          <w:rFonts w:eastAsiaTheme="minorEastAsia"/>
        </w:rPr>
        <w:tab/>
        <w:t>Sulfate: 400 mg/L</w:t>
      </w:r>
    </w:p>
    <w:p w:rsidR="00ED1DCF" w:rsidRDefault="00ED1DCF" w:rsidP="00ED1DCF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R)</w:t>
      </w:r>
      <w:r w:rsidRPr="004344CA">
        <w:rPr>
          <w:rFonts w:eastAsiaTheme="minorEastAsia"/>
        </w:rPr>
        <w:tab/>
        <w:t>Thallium: 0.002 mg/L</w:t>
      </w:r>
    </w:p>
    <w:p w:rsidR="007E18D2" w:rsidRDefault="007E18D2" w:rsidP="00ED1DCF">
      <w:pPr>
        <w:rPr>
          <w:rFonts w:eastAsiaTheme="minorEastAsia"/>
        </w:rPr>
      </w:pPr>
    </w:p>
    <w:p w:rsidR="007E18D2" w:rsidRPr="004344CA" w:rsidRDefault="007E18D2" w:rsidP="007E18D2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S)</w:t>
      </w:r>
      <w:r w:rsidRPr="004344CA">
        <w:rPr>
          <w:rFonts w:eastAsiaTheme="minorEastAsia"/>
        </w:rPr>
        <w:tab/>
        <w:t>Total Dissolved Solids: 1200 mg/L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lastRenderedPageBreak/>
        <w:t>T)</w:t>
      </w:r>
      <w:r w:rsidRPr="004344CA">
        <w:rPr>
          <w:rFonts w:eastAsiaTheme="minorEastAsia"/>
        </w:rPr>
        <w:tab/>
        <w:t>Radium 226 and 228 combined: 5 pCi/L</w:t>
      </w:r>
    </w:p>
    <w:bookmarkEnd w:id="1"/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2)</w:t>
      </w:r>
      <w:r w:rsidRPr="004344CA">
        <w:rPr>
          <w:rFonts w:eastAsiaTheme="minorEastAsia"/>
        </w:rPr>
        <w:tab/>
        <w:t xml:space="preserve">For constituents with a background concentration higher than the levels identified </w:t>
      </w:r>
      <w:r w:rsidR="00961FE5">
        <w:rPr>
          <w:rFonts w:eastAsiaTheme="minorEastAsia"/>
        </w:rPr>
        <w:t>in</w:t>
      </w:r>
      <w:r w:rsidRPr="004344CA">
        <w:rPr>
          <w:rFonts w:eastAsiaTheme="minorEastAsia"/>
        </w:rPr>
        <w:t xml:space="preserve"> subsection (a)(1), the background concentration must be the groundwater protection standard.</w:t>
      </w:r>
    </w:p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  <w:t>For new CCR surface impoundments, the groundwater protection standards at the waste boundary must be background for the constituents listed in subsection (a)(1)</w:t>
      </w:r>
      <w:bookmarkStart w:id="2" w:name="_Hlk28939157"/>
      <w:r w:rsidR="00D043E2">
        <w:rPr>
          <w:rFonts w:eastAsiaTheme="minorEastAsia"/>
        </w:rPr>
        <w:t xml:space="preserve">, </w:t>
      </w:r>
      <w:r w:rsidR="00E039F4">
        <w:rPr>
          <w:rFonts w:eastAsiaTheme="minorEastAsia"/>
        </w:rPr>
        <w:t>c</w:t>
      </w:r>
      <w:r w:rsidRPr="004344CA">
        <w:rPr>
          <w:rFonts w:eastAsiaTheme="minorEastAsia"/>
        </w:rPr>
        <w:t>alcium</w:t>
      </w:r>
      <w:r w:rsidR="00E039F4">
        <w:rPr>
          <w:rFonts w:eastAsiaTheme="minorEastAsia"/>
        </w:rPr>
        <w:t>, and t</w:t>
      </w:r>
      <w:bookmarkStart w:id="3" w:name="_GoBack"/>
      <w:bookmarkEnd w:id="3"/>
      <w:r w:rsidR="00D043E2">
        <w:rPr>
          <w:rFonts w:eastAsiaTheme="minorEastAsia"/>
        </w:rPr>
        <w:t>urbidity</w:t>
      </w:r>
      <w:r w:rsidRPr="004344CA">
        <w:rPr>
          <w:rFonts w:eastAsiaTheme="minorEastAsia"/>
        </w:rPr>
        <w:t>.</w:t>
      </w:r>
    </w:p>
    <w:bookmarkEnd w:id="2"/>
    <w:p w:rsidR="007E18D2" w:rsidRPr="004344CA" w:rsidRDefault="007E18D2" w:rsidP="007E18D2">
      <w:pPr>
        <w:rPr>
          <w:rFonts w:eastAsiaTheme="minorEastAsia"/>
        </w:rPr>
      </w:pPr>
    </w:p>
    <w:p w:rsidR="007E18D2" w:rsidRPr="004344CA" w:rsidRDefault="007E18D2" w:rsidP="007E18D2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  <w:t xml:space="preserve">The owner or operator of a CCR surface impoundment may not obtain alternative groundwater quality standards in 35 Ill. Adm. Code 620.450(a)(4) for the constituents in subsections (a) and (b) before the end of post-closure care under Section 845.780, when closing with a final cover system, or before the end of groundwater monitoring under Section 845.740(b), when closing by removal. </w:t>
      </w:r>
    </w:p>
    <w:sectPr w:rsidR="007E18D2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5D8" w:rsidRDefault="00FC55D8">
      <w:r>
        <w:separator/>
      </w:r>
    </w:p>
  </w:endnote>
  <w:endnote w:type="continuationSeparator" w:id="0">
    <w:p w:rsidR="00FC55D8" w:rsidRDefault="00FC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5D8" w:rsidRDefault="00FC55D8">
      <w:r>
        <w:separator/>
      </w:r>
    </w:p>
  </w:footnote>
  <w:footnote w:type="continuationSeparator" w:id="0">
    <w:p w:rsidR="00FC55D8" w:rsidRDefault="00FC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8D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1FE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3E2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9F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DCF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5D8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AE68B-E225-49AD-98E6-8CA15BD3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D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7</cp:revision>
  <dcterms:created xsi:type="dcterms:W3CDTF">2020-04-20T21:02:00Z</dcterms:created>
  <dcterms:modified xsi:type="dcterms:W3CDTF">2021-03-25T18:46:00Z</dcterms:modified>
</cp:coreProperties>
</file>