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62" w:rsidRDefault="00F66662" w:rsidP="00F666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6662" w:rsidRDefault="00F66662" w:rsidP="00F66662">
      <w:pPr>
        <w:widowControl w:val="0"/>
        <w:autoSpaceDE w:val="0"/>
        <w:autoSpaceDN w:val="0"/>
        <w:adjustRightInd w:val="0"/>
        <w:jc w:val="center"/>
      </w:pPr>
      <w:r>
        <w:t>SUBPART C:  STEEL AND FOUNDRY INDUSTRY POTENTIALLY</w:t>
      </w:r>
    </w:p>
    <w:p w:rsidR="00F66662" w:rsidRDefault="00F66662" w:rsidP="00F66662">
      <w:pPr>
        <w:widowControl w:val="0"/>
        <w:autoSpaceDE w:val="0"/>
        <w:autoSpaceDN w:val="0"/>
        <w:adjustRightInd w:val="0"/>
        <w:jc w:val="center"/>
      </w:pPr>
      <w:r>
        <w:t>USABLE WASTE LANDFILLS</w:t>
      </w:r>
    </w:p>
    <w:sectPr w:rsidR="00F66662" w:rsidSect="00F666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662"/>
    <w:rsid w:val="0036735B"/>
    <w:rsid w:val="005C3366"/>
    <w:rsid w:val="00802E78"/>
    <w:rsid w:val="00995A18"/>
    <w:rsid w:val="00F6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STEEL AND FOUNDRY INDUSTRY POTENTIALLY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STEEL AND FOUNDRY INDUSTRY POTENTIALLY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